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215F2" w14:textId="7ABE391C" w:rsidR="006B65C5" w:rsidRPr="00A82992" w:rsidRDefault="005F5D38">
      <w:pPr>
        <w:jc w:val="center"/>
        <w:rPr>
          <w:rFonts w:ascii="方正小标宋简体" w:eastAsia="方正小标宋简体" w:cs="仿宋_GB2312"/>
          <w:bCs/>
          <w:color w:val="000000" w:themeColor="text1"/>
          <w:sz w:val="44"/>
          <w:szCs w:val="44"/>
        </w:rPr>
      </w:pPr>
      <w:r w:rsidRPr="00A82992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团体标准《</w:t>
      </w:r>
      <w:r w:rsidR="005E1815" w:rsidRPr="005E1815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横县鱼生全链条管理规范  第</w:t>
      </w:r>
      <w:r w:rsidR="00622A81">
        <w:rPr>
          <w:rFonts w:ascii="方正小标宋简体" w:eastAsia="方正小标宋简体" w:cs="仿宋_GB2312"/>
          <w:bCs/>
          <w:color w:val="000000" w:themeColor="text1"/>
          <w:sz w:val="44"/>
          <w:szCs w:val="44"/>
        </w:rPr>
        <w:t>1</w:t>
      </w:r>
      <w:r w:rsidR="005E1815" w:rsidRPr="005E1815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部分：</w:t>
      </w:r>
      <w:r w:rsidR="00622A81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养殖</w:t>
      </w:r>
      <w:r w:rsidRPr="00A82992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》（征求意见稿）编制说明</w:t>
      </w:r>
    </w:p>
    <w:p w14:paraId="01B0B1CB" w14:textId="77777777" w:rsidR="006B65C5" w:rsidRPr="00A82992" w:rsidRDefault="006B65C5">
      <w:pPr>
        <w:ind w:firstLine="378"/>
        <w:jc w:val="center"/>
        <w:rPr>
          <w:rFonts w:ascii="方正小标宋简体" w:eastAsia="方正小标宋简体" w:cs="仿宋_GB2312"/>
          <w:bCs/>
          <w:color w:val="000000" w:themeColor="text1"/>
          <w:sz w:val="18"/>
          <w:szCs w:val="18"/>
        </w:rPr>
      </w:pPr>
    </w:p>
    <w:p w14:paraId="72A17A28" w14:textId="77777777" w:rsidR="006B65C5" w:rsidRPr="00A82992" w:rsidRDefault="005F5D38">
      <w:pPr>
        <w:pStyle w:val="afe"/>
        <w:ind w:firstLineChars="200" w:firstLine="640"/>
        <w:jc w:val="left"/>
        <w:rPr>
          <w:rFonts w:ascii="黑体" w:eastAsia="黑体" w:hAnsi="黑体"/>
          <w:b w:val="0"/>
          <w:color w:val="000000" w:themeColor="text1"/>
        </w:rPr>
      </w:pPr>
      <w:r w:rsidRPr="00A82992">
        <w:rPr>
          <w:rFonts w:ascii="黑体" w:eastAsia="黑体" w:hAnsi="黑体" w:hint="eastAsia"/>
          <w:b w:val="0"/>
          <w:color w:val="000000" w:themeColor="text1"/>
        </w:rPr>
        <w:t>一、任务来源、起草单位、</w:t>
      </w:r>
      <w:r w:rsidRPr="00A82992">
        <w:rPr>
          <w:rFonts w:ascii="黑体" w:eastAsia="黑体" w:hAnsi="黑体"/>
          <w:b w:val="0"/>
          <w:color w:val="000000" w:themeColor="text1"/>
        </w:rPr>
        <w:t>主要起草人</w:t>
      </w:r>
    </w:p>
    <w:p w14:paraId="37D84054" w14:textId="3970E2F7" w:rsidR="006B65C5" w:rsidRPr="00A82992" w:rsidRDefault="005F5D38" w:rsidP="008B29D3">
      <w:pPr>
        <w:spacing w:afterLines="50" w:after="120"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根据《</w:t>
      </w:r>
      <w:r w:rsidR="00DE368F" w:rsidRPr="00DE368F">
        <w:rPr>
          <w:rFonts w:ascii="仿宋_GB2312" w:eastAsia="仿宋_GB2312" w:hint="eastAsia"/>
          <w:color w:val="000000" w:themeColor="text1"/>
          <w:sz w:val="32"/>
          <w:szCs w:val="32"/>
        </w:rPr>
        <w:t>广西营养学会关于下达2025年第一批团体标准制修订项目计划的通知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》（</w:t>
      </w:r>
      <w:r w:rsidR="00DE368F" w:rsidRPr="00DE368F">
        <w:rPr>
          <w:rFonts w:ascii="仿宋_GB2312" w:eastAsia="仿宋_GB2312" w:hint="eastAsia"/>
          <w:color w:val="000000" w:themeColor="text1"/>
          <w:sz w:val="32"/>
          <w:szCs w:val="32"/>
        </w:rPr>
        <w:t>桂营学字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〔</w:t>
      </w:r>
      <w:r w:rsidRPr="00A82992">
        <w:rPr>
          <w:rFonts w:ascii="仿宋_GB2312" w:eastAsia="仿宋_GB2312"/>
          <w:color w:val="000000" w:themeColor="text1"/>
          <w:sz w:val="32"/>
          <w:szCs w:val="32"/>
        </w:rPr>
        <w:t>2025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〕</w:t>
      </w:r>
      <w:r w:rsidR="00DE368F">
        <w:rPr>
          <w:rFonts w:ascii="仿宋_GB2312" w:eastAsia="仿宋_GB2312"/>
          <w:color w:val="000000" w:themeColor="text1"/>
          <w:sz w:val="32"/>
          <w:szCs w:val="32"/>
        </w:rPr>
        <w:t>7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号）文件精神，由</w:t>
      </w:r>
      <w:r w:rsidR="008B29D3" w:rsidRPr="008B29D3">
        <w:rPr>
          <w:rFonts w:ascii="仿宋_GB2312" w:eastAsia="仿宋_GB2312" w:hint="eastAsia"/>
          <w:color w:val="000000" w:themeColor="text1"/>
          <w:sz w:val="32"/>
          <w:szCs w:val="32"/>
        </w:rPr>
        <w:t>广西壮族自治区疾病预防控制局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提出，</w:t>
      </w:r>
      <w:r w:rsidR="00FA7ECB" w:rsidRPr="00FA7ECB">
        <w:rPr>
          <w:rFonts w:ascii="仿宋_GB2312" w:eastAsia="仿宋_GB2312" w:hint="eastAsia"/>
          <w:color w:val="000000" w:themeColor="text1"/>
          <w:sz w:val="32"/>
          <w:szCs w:val="32"/>
        </w:rPr>
        <w:t>南宁市市场监督管理信息中心、广西营养学会、广西标准化协会、广西渔业协会、广西烹饪餐饮行业协会鱼生专业委员会、广西壮族自治区水产科学研究院、广西职业技术学院、广西农业科学院农产品加工研究所、广西中医药大学、广西中医药研究院、南宁市水产畜牧兽医技术推广站、横州市职业技术学校、横州市综合检验检测中心、广西农垦明阳农场有限公司渔业养殖场分公司、广西桂之渔农业科技有限公司、南宁市金渔水产有限公司、桂林聚龙潭生态渔业有限公司、广西桂江京盛生态养殖有限公司、横县裕通水果种植家庭农场有限公司、南宁市横县鸿翔泉水鱼生态养殖有限公司、广西南宁福海水产养殖有限公司、广西中科渔业服务有限公司、广西有念花开餐饮管理有限公司、广西余师傅餐饮有限公司、横州安仔江鱼鱼生店、横州市峦城镇淳意酒店、横县景园春酒店、横州市横州国际大酒店有限责任公司、横州市南乡镇丰润山庄、横县六景镇善霖食府、横县余艺鱼生店、广西三个椰子餐饮管理有限公司、南宁市元泉环保科技有限公司、横州市众海水产品有限公司、南宁市经开区小海马食品批发中心、广西南宁渔之家水产服务有限公司、广西好渔顺商贸有限公司</w:t>
      </w:r>
      <w:r w:rsidR="008B29D3" w:rsidRPr="008B29D3">
        <w:rPr>
          <w:rFonts w:ascii="仿宋_GB2312" w:eastAsia="仿宋_GB2312" w:hint="eastAsia"/>
          <w:color w:val="000000" w:themeColor="text1"/>
          <w:sz w:val="32"/>
          <w:szCs w:val="32"/>
        </w:rPr>
        <w:t>等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单位共同起草的团体标准《</w:t>
      </w:r>
      <w:r w:rsidR="008B29D3" w:rsidRPr="008B29D3">
        <w:rPr>
          <w:rFonts w:ascii="仿宋_GB2312" w:eastAsia="仿宋_GB2312" w:hint="eastAsia"/>
          <w:color w:val="000000" w:themeColor="text1"/>
          <w:sz w:val="32"/>
          <w:szCs w:val="32"/>
        </w:rPr>
        <w:t>横县鱼生全链条管理规范  第</w:t>
      </w:r>
      <w:r w:rsidR="00622A81">
        <w:rPr>
          <w:rFonts w:ascii="仿宋_GB2312" w:eastAsia="仿宋_GB2312"/>
          <w:color w:val="000000" w:themeColor="text1"/>
          <w:sz w:val="32"/>
          <w:szCs w:val="32"/>
        </w:rPr>
        <w:t>1</w:t>
      </w:r>
      <w:r w:rsidR="008B29D3" w:rsidRPr="008B29D3">
        <w:rPr>
          <w:rFonts w:ascii="仿宋_GB2312" w:eastAsia="仿宋_GB2312" w:hint="eastAsia"/>
          <w:color w:val="000000" w:themeColor="text1"/>
          <w:sz w:val="32"/>
          <w:szCs w:val="32"/>
        </w:rPr>
        <w:t>部分：</w:t>
      </w:r>
      <w:r w:rsidR="00622A81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》（项目</w:t>
      </w:r>
      <w:r w:rsidR="001363BD">
        <w:rPr>
          <w:rFonts w:ascii="仿宋_GB2312" w:eastAsia="仿宋_GB2312" w:hint="eastAsia"/>
          <w:color w:val="000000" w:themeColor="text1"/>
          <w:sz w:val="32"/>
          <w:szCs w:val="32"/>
        </w:rPr>
        <w:t>序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号：</w:t>
      </w:r>
      <w:r w:rsidR="00622A81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）已获批立项。</w:t>
      </w:r>
    </w:p>
    <w:p w14:paraId="371ADAA1" w14:textId="77777777" w:rsidR="006B65C5" w:rsidRPr="00A82992" w:rsidRDefault="005F5D38">
      <w:pPr>
        <w:pStyle w:val="afe"/>
        <w:ind w:firstLineChars="200" w:firstLine="640"/>
        <w:jc w:val="left"/>
        <w:rPr>
          <w:rFonts w:ascii="黑体" w:eastAsia="黑体" w:hAnsi="黑体"/>
          <w:b w:val="0"/>
          <w:color w:val="000000" w:themeColor="text1"/>
        </w:rPr>
      </w:pPr>
      <w:bookmarkStart w:id="0" w:name="_GoBack"/>
      <w:bookmarkEnd w:id="0"/>
      <w:r w:rsidRPr="00A82992">
        <w:rPr>
          <w:rFonts w:ascii="黑体" w:eastAsia="黑体" w:hAnsi="黑体" w:hint="eastAsia"/>
          <w:b w:val="0"/>
          <w:color w:val="000000" w:themeColor="text1"/>
        </w:rPr>
        <w:lastRenderedPageBreak/>
        <w:t>二、制定标准的必要性和意义</w:t>
      </w:r>
    </w:p>
    <w:p w14:paraId="4F2DF0DC" w14:textId="50170EC4" w:rsidR="00786429" w:rsidRPr="00786429" w:rsidRDefault="00786429" w:rsidP="00786429">
      <w:pPr>
        <w:spacing w:line="520" w:lineRule="exact"/>
        <w:ind w:firstLineChars="200" w:firstLine="640"/>
        <w:rPr>
          <w:rFonts w:ascii="仿宋_GB2312" w:eastAsiaTheme="minorEastAsia"/>
          <w:color w:val="000000" w:themeColor="text1"/>
          <w:sz w:val="32"/>
          <w:szCs w:val="32"/>
        </w:rPr>
      </w:pPr>
      <w:r w:rsidRPr="00786429">
        <w:rPr>
          <w:rFonts w:ascii="仿宋_GB2312" w:eastAsia="仿宋_GB2312" w:hint="eastAsia"/>
          <w:color w:val="000000" w:themeColor="text1"/>
          <w:sz w:val="32"/>
          <w:szCs w:val="32"/>
        </w:rPr>
        <w:t>从产业发展角度来看，规范养殖环节是提升横县鱼生产业整体竞争力的关键。目前，横县鱼生产业的发展面临着养殖环节缺乏统一标准的问题，导致鱼产品质量参差不齐。通过制定养殖标准，能够优化渔业生产流程，规范养殖技术，提升渔业资源利用效率，减少资源浪费。这不仅有助于推动渔业产业从传统生产方式向现代化、集约化方向发展，还能降低生产成本，提高产业链效率，进而提升横县鱼生产业在国内外市场的整体竞争力，实现产业的长期、稳定发展。例如，标准化的养殖流程可以让养殖户合理控制养殖密度，科学投喂饲料，从而提高鱼类的成活率和生长速度，保障稳定的高品质鱼源供应，促进整个鱼生产业的升级。</w:t>
      </w:r>
    </w:p>
    <w:p w14:paraId="307E1565" w14:textId="073A96B4" w:rsidR="00786429" w:rsidRPr="00786429" w:rsidRDefault="00786429" w:rsidP="00786429">
      <w:pPr>
        <w:spacing w:line="520" w:lineRule="exact"/>
        <w:ind w:firstLineChars="200" w:firstLine="640"/>
        <w:rPr>
          <w:rFonts w:ascii="仿宋_GB2312" w:eastAsiaTheme="minorEastAsia"/>
          <w:color w:val="000000" w:themeColor="text1"/>
          <w:sz w:val="32"/>
          <w:szCs w:val="32"/>
        </w:rPr>
      </w:pPr>
      <w:r w:rsidRPr="00786429">
        <w:rPr>
          <w:rFonts w:ascii="仿宋_GB2312" w:eastAsia="仿宋_GB2312" w:hint="eastAsia"/>
          <w:color w:val="000000" w:themeColor="text1"/>
          <w:sz w:val="32"/>
          <w:szCs w:val="32"/>
        </w:rPr>
        <w:t>在食品安全与质量保障方面，养殖是鱼生原料的源头，其重要性不言而喻。没有统一的养殖标准，鱼产品可能会受到环境污染、药物残留、寄生虫等问题的威胁，严重影响鱼生的食品安全和质量。制定该标准，能够明确规定养殖环境的水质要求、饲料的选用标准、药物的使用规范等，从源头上保障鱼产品的质量安全。只有确保了原料的安全性，才能让消费者放心食用横县鱼生，增强市场对横县鱼生的信任度。比如，对养殖水体的定期检测和净化要求，可有效避免因水质污染导致的鱼类重金属超标等问题；对饲料的严格把控，能减少饲料中有害物质在鱼体内的积累，为制作安全美味的鱼生奠定坚实基础。</w:t>
      </w:r>
    </w:p>
    <w:p w14:paraId="44DFAE02" w14:textId="700785A0" w:rsidR="006B65C5" w:rsidRPr="00A82992" w:rsidRDefault="00786429" w:rsidP="00786429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86429">
        <w:rPr>
          <w:rFonts w:ascii="仿宋_GB2312" w:eastAsia="仿宋_GB2312" w:hint="eastAsia"/>
          <w:color w:val="000000" w:themeColor="text1"/>
          <w:sz w:val="32"/>
          <w:szCs w:val="32"/>
        </w:rPr>
        <w:t>从文化传承角度而言，横县鱼生文化历史悠久，但近年来由于生态环境恶化以及一些负面报道，其可持续发展面临挑战。制定养殖标准，将生态文明思想融入其中，通过规范养殖行为，保护水域生态环境，有助于为横县鱼生的可持续发展提供良好的生态基础。只有在生态环境得到保护的前提下，才能确保有优质的</w:t>
      </w:r>
      <w:r w:rsidRPr="00786429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鱼类资源用于制作鱼生，让这一传统美食文化得以延续和传承。而且，标准化的养殖模式还能为横县鱼生的品牌建设提供有力支撑，提升其品牌效应，使横县鱼生这一文化瑰宝在现代社会中焕发出新的活力，走向更广阔的市场。</w:t>
      </w:r>
      <w:r w:rsidR="003A587F" w:rsidRPr="003A587F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54234E41" w14:textId="7EF7053B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通过制定团体标准《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BA0C59">
        <w:rPr>
          <w:rFonts w:ascii="仿宋_GB2312" w:eastAsia="仿宋_GB2312" w:hint="eastAsia"/>
          <w:color w:val="000000" w:themeColor="text1"/>
          <w:sz w:val="32"/>
          <w:szCs w:val="32"/>
        </w:rPr>
        <w:t>》，以标准为抓手，统一规范</w:t>
      </w:r>
      <w:r w:rsidR="000940F9" w:rsidRPr="000940F9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="000940F9">
        <w:rPr>
          <w:rFonts w:ascii="仿宋_GB2312" w:eastAsia="仿宋_GB2312"/>
          <w:color w:val="000000" w:themeColor="text1"/>
          <w:sz w:val="32"/>
          <w:szCs w:val="32"/>
        </w:rPr>
        <w:t>要求，</w:t>
      </w:r>
      <w:r w:rsidR="000940F9" w:rsidRPr="000940F9">
        <w:rPr>
          <w:rFonts w:ascii="仿宋_GB2312" w:eastAsia="仿宋_GB2312" w:hint="eastAsia"/>
          <w:color w:val="000000" w:themeColor="text1"/>
          <w:sz w:val="32"/>
          <w:szCs w:val="32"/>
        </w:rPr>
        <w:t>从源头保障食材供应的稳定性与质量，</w:t>
      </w:r>
      <w:r w:rsidR="00EB515F">
        <w:rPr>
          <w:rFonts w:ascii="仿宋_GB2312" w:eastAsia="仿宋_GB2312" w:hint="eastAsia"/>
          <w:color w:val="000000" w:themeColor="text1"/>
          <w:sz w:val="32"/>
          <w:szCs w:val="32"/>
        </w:rPr>
        <w:t>对</w:t>
      </w:r>
      <w:r w:rsidR="000940F9" w:rsidRPr="000940F9">
        <w:rPr>
          <w:rFonts w:ascii="仿宋_GB2312" w:eastAsia="仿宋_GB2312" w:hint="eastAsia"/>
          <w:color w:val="000000" w:themeColor="text1"/>
          <w:sz w:val="32"/>
          <w:szCs w:val="32"/>
        </w:rPr>
        <w:t>促进形成规模化、集约化的</w:t>
      </w:r>
      <w:r w:rsidR="000940F9">
        <w:rPr>
          <w:rFonts w:ascii="仿宋_GB2312" w:eastAsia="仿宋_GB2312" w:hint="eastAsia"/>
          <w:color w:val="000000" w:themeColor="text1"/>
          <w:sz w:val="32"/>
          <w:szCs w:val="32"/>
        </w:rPr>
        <w:t>横县鱼生</w:t>
      </w:r>
      <w:r w:rsidR="000940F9" w:rsidRPr="000940F9">
        <w:rPr>
          <w:rFonts w:ascii="仿宋_GB2312" w:eastAsia="仿宋_GB2312" w:hint="eastAsia"/>
          <w:color w:val="000000" w:themeColor="text1"/>
          <w:sz w:val="32"/>
          <w:szCs w:val="32"/>
        </w:rPr>
        <w:t>产业格局</w:t>
      </w:r>
      <w:r w:rsidR="000940F9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BA0C59" w:rsidRPr="00BA0C59">
        <w:rPr>
          <w:rFonts w:ascii="仿宋_GB2312" w:eastAsia="仿宋_GB2312" w:hint="eastAsia"/>
          <w:color w:val="000000" w:themeColor="text1"/>
          <w:sz w:val="32"/>
          <w:szCs w:val="32"/>
        </w:rPr>
        <w:t>推动</w:t>
      </w:r>
      <w:r w:rsidR="00BA0C59" w:rsidRPr="00BA0C59">
        <w:rPr>
          <w:rFonts w:ascii="仿宋_GB2312" w:eastAsia="仿宋_GB2312"/>
          <w:color w:val="000000" w:themeColor="text1"/>
          <w:sz w:val="32"/>
          <w:szCs w:val="32"/>
        </w:rPr>
        <w:t>横县鱼生产业高质量发展具有重要意义</w:t>
      </w:r>
      <w:r w:rsidRPr="00BA0C59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697DF10C" w14:textId="77777777" w:rsidR="006B65C5" w:rsidRPr="00A82992" w:rsidRDefault="005F5D38">
      <w:pPr>
        <w:autoSpaceDE w:val="0"/>
        <w:autoSpaceDN w:val="0"/>
        <w:adjustRightInd w:val="0"/>
        <w:spacing w:beforeLines="50" w:before="120" w:afterLines="50" w:after="120"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A82992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三、主要起草过程</w:t>
      </w:r>
    </w:p>
    <w:p w14:paraId="1F95469B" w14:textId="77777777" w:rsidR="006B65C5" w:rsidRPr="00A82992" w:rsidRDefault="005F5D38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A82992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（一）成立标准编制工作组</w:t>
      </w:r>
    </w:p>
    <w:p w14:paraId="3CC27BB4" w14:textId="73F0BFD4" w:rsidR="006B65C5" w:rsidRPr="00A82992" w:rsidRDefault="005F5D38">
      <w:pPr>
        <w:spacing w:line="52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》项目任务下达后，</w:t>
      </w:r>
      <w:r w:rsidR="009A6EA6" w:rsidRPr="009A6EA6">
        <w:rPr>
          <w:rFonts w:ascii="仿宋_GB2312" w:eastAsia="仿宋_GB2312" w:hint="eastAsia"/>
          <w:color w:val="000000" w:themeColor="text1"/>
          <w:sz w:val="32"/>
          <w:szCs w:val="32"/>
        </w:rPr>
        <w:t>南宁市市场监督管理信息中心、广西营养学会、横县安仔鱼生店、广西渔老表餐饮有限公司、横州市鸿翔泉水鱼生态养殖有限公司、广西桂之渔农业科技有限公司、南宁市金渔水产有限公司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等单位成立了标准编制工作组，制定了起草编写方案与进度安排，明确任务职责，确定工作技术路线，开展标准研制工作。具体标准编制工作由起草单位相关人员配合完成。</w:t>
      </w:r>
    </w:p>
    <w:p w14:paraId="0C10889A" w14:textId="77777777" w:rsidR="006B65C5" w:rsidRPr="00A82992" w:rsidRDefault="005F5D38">
      <w:pPr>
        <w:spacing w:line="52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为了明确标准编制的任务职责，确定工作技术路线，开展标准研制工作。编制工作组下设三个组，分别是资料收集组、草案编写组、标准实施组。</w:t>
      </w:r>
    </w:p>
    <w:p w14:paraId="7155381C" w14:textId="7E30A175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资料收集组负责国内外有关</w:t>
      </w:r>
      <w:r w:rsidR="009A6EA6" w:rsidRPr="007C753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7C7536">
        <w:rPr>
          <w:rFonts w:ascii="仿宋_GB2312" w:eastAsia="仿宋_GB2312" w:hint="eastAsia"/>
          <w:color w:val="000000" w:themeColor="text1"/>
          <w:sz w:val="32"/>
          <w:szCs w:val="32"/>
        </w:rPr>
        <w:t>相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关文献资料的查询、收集和整理工作，查阅前期对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的有关研究情况和目前医学界对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的研究进展。</w:t>
      </w:r>
    </w:p>
    <w:p w14:paraId="6D5684E7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草案编写组负责起草标准草案及后续征求意见稿和标准编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制说明、送审稿及编制说明等编写工作，包括后期召开征求意见会、网上征求意见，以及标准的不断修改和完善。</w:t>
      </w:r>
    </w:p>
    <w:p w14:paraId="2B358024" w14:textId="28E9F489" w:rsidR="006B65C5" w:rsidRPr="00A82992" w:rsidRDefault="005F5D38">
      <w:pPr>
        <w:spacing w:line="520" w:lineRule="exact"/>
        <w:ind w:firstLineChars="200" w:firstLine="640"/>
        <w:jc w:val="left"/>
        <w:rPr>
          <w:rFonts w:ascii="仿宋_GB2312" w:eastAsia="仿宋_GB2312" w:cs="仿宋_GB2312"/>
          <w:color w:val="000000" w:themeColor="text1"/>
          <w:sz w:val="28"/>
          <w:szCs w:val="28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标准实施组负责团体标准《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》发布后，组织相关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鱼生专用</w:t>
      </w:r>
      <w:r w:rsidR="009A6EA6">
        <w:rPr>
          <w:rFonts w:ascii="仿宋_GB2312" w:eastAsia="仿宋_GB2312"/>
          <w:color w:val="000000" w:themeColor="text1"/>
          <w:sz w:val="32"/>
          <w:szCs w:val="32"/>
        </w:rPr>
        <w:t>鱼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养殖基地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下游企业</w:t>
      </w:r>
      <w:r w:rsidR="009A6EA6">
        <w:rPr>
          <w:rFonts w:ascii="仿宋_GB2312" w:eastAsia="仿宋_GB2312"/>
          <w:color w:val="000000" w:themeColor="text1"/>
          <w:sz w:val="32"/>
          <w:szCs w:val="32"/>
        </w:rPr>
        <w:t>、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餐饮店以及各</w:t>
      </w:r>
      <w:r w:rsidR="009A6EA6">
        <w:rPr>
          <w:rFonts w:ascii="仿宋_GB2312" w:eastAsia="仿宋_GB2312"/>
          <w:color w:val="000000" w:themeColor="text1"/>
          <w:sz w:val="32"/>
          <w:szCs w:val="32"/>
        </w:rPr>
        <w:t>企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事业单位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9A6EA6">
        <w:rPr>
          <w:rFonts w:ascii="仿宋_GB2312" w:eastAsia="仿宋_GB2312"/>
          <w:color w:val="000000" w:themeColor="text1"/>
          <w:sz w:val="32"/>
          <w:szCs w:val="32"/>
        </w:rPr>
        <w:t>高校、科研机构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开展标准宣贯培训会，对标准进行详细解读，让相关人员了解标准，并根据标准对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进行规范化操作，并对标准实施情况进行总结分析，不断对标准提出修正意见。</w:t>
      </w:r>
    </w:p>
    <w:p w14:paraId="3E81A00C" w14:textId="77777777" w:rsidR="006B65C5" w:rsidRPr="00A82992" w:rsidRDefault="005F5D38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A82992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（二）收集整理文献资料</w:t>
      </w:r>
    </w:p>
    <w:p w14:paraId="0DE5C454" w14:textId="4BE44CDB" w:rsidR="006B65C5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标准编制工作组收集了国内有</w:t>
      </w:r>
      <w:r w:rsidRPr="00C41385">
        <w:rPr>
          <w:rFonts w:ascii="仿宋_GB2312" w:eastAsia="仿宋_GB2312" w:hint="eastAsia"/>
          <w:color w:val="000000" w:themeColor="text1"/>
          <w:sz w:val="32"/>
          <w:szCs w:val="32"/>
        </w:rPr>
        <w:t>关“</w:t>
      </w:r>
      <w:r w:rsidR="00943854" w:rsidRPr="00C41385">
        <w:rPr>
          <w:rFonts w:ascii="仿宋_GB2312" w:eastAsia="仿宋_GB2312" w:hint="eastAsia"/>
          <w:color w:val="000000" w:themeColor="text1"/>
          <w:sz w:val="32"/>
          <w:szCs w:val="32"/>
        </w:rPr>
        <w:t>鱼生</w:t>
      </w: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”“</w:t>
      </w:r>
      <w:r w:rsidR="00786429" w:rsidRPr="00266606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”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的相关文献资料。主要有：</w:t>
      </w:r>
    </w:p>
    <w:p w14:paraId="47255E90" w14:textId="77777777" w:rsidR="00961E25" w:rsidRDefault="00961E25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961E25">
        <w:rPr>
          <w:rFonts w:ascii="仿宋_GB2312" w:eastAsia="仿宋_GB2312" w:hint="eastAsia"/>
          <w:color w:val="000000" w:themeColor="text1"/>
          <w:sz w:val="32"/>
          <w:szCs w:val="32"/>
        </w:rPr>
        <w:t>T</w:t>
      </w:r>
      <w:r>
        <w:rPr>
          <w:rFonts w:ascii="仿宋_GB2312" w:eastAsia="仿宋_GB2312"/>
          <w:color w:val="000000" w:themeColor="text1"/>
          <w:sz w:val="32"/>
          <w:szCs w:val="32"/>
        </w:rPr>
        <w:t>/</w:t>
      </w:r>
      <w:r w:rsidRPr="00961E25">
        <w:rPr>
          <w:rFonts w:ascii="仿宋_GB2312" w:eastAsia="仿宋_GB2312" w:hint="eastAsia"/>
          <w:color w:val="000000" w:themeColor="text1"/>
          <w:sz w:val="32"/>
          <w:szCs w:val="32"/>
        </w:rPr>
        <w:t>SDRA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  <w:r w:rsidRPr="00961E25">
        <w:rPr>
          <w:rFonts w:ascii="仿宋_GB2312" w:eastAsia="仿宋_GB2312" w:hint="eastAsia"/>
          <w:color w:val="000000" w:themeColor="text1"/>
          <w:sz w:val="32"/>
          <w:szCs w:val="32"/>
        </w:rPr>
        <w:t>37.1-2024顺德鱼生全链条管理规范 第1部分：养殖技术</w:t>
      </w:r>
    </w:p>
    <w:p w14:paraId="24D0F1AB" w14:textId="48B354B5" w:rsidR="00943854" w:rsidRDefault="0094385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943854">
        <w:rPr>
          <w:rFonts w:ascii="仿宋_GB2312" w:eastAsia="仿宋_GB2312"/>
          <w:color w:val="000000" w:themeColor="text1"/>
          <w:sz w:val="32"/>
          <w:szCs w:val="32"/>
        </w:rPr>
        <w:t>T/GXAS 1081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-2025  </w:t>
      </w:r>
      <w:r w:rsidRPr="00943854">
        <w:rPr>
          <w:rFonts w:ascii="仿宋_GB2312" w:eastAsia="仿宋_GB2312" w:hint="eastAsia"/>
          <w:color w:val="000000" w:themeColor="text1"/>
          <w:sz w:val="32"/>
          <w:szCs w:val="32"/>
        </w:rPr>
        <w:t>横县鱼生制作技术规程</w:t>
      </w:r>
    </w:p>
    <w:p w14:paraId="22C5792D" w14:textId="5A1CF911" w:rsidR="00961E25" w:rsidRDefault="00961E25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961E25">
        <w:rPr>
          <w:rFonts w:ascii="仿宋_GB2312" w:eastAsia="仿宋_GB2312"/>
          <w:color w:val="000000" w:themeColor="text1"/>
          <w:sz w:val="32"/>
          <w:szCs w:val="32"/>
        </w:rPr>
        <w:t>DB45</w:t>
      </w:r>
      <w:r>
        <w:rPr>
          <w:rFonts w:ascii="仿宋_GB2312" w:eastAsia="仿宋_GB2312"/>
          <w:color w:val="000000" w:themeColor="text1"/>
          <w:sz w:val="32"/>
          <w:szCs w:val="32"/>
        </w:rPr>
        <w:t>/</w:t>
      </w:r>
      <w:r w:rsidRPr="00961E25">
        <w:rPr>
          <w:rFonts w:ascii="仿宋_GB2312" w:eastAsia="仿宋_GB2312"/>
          <w:color w:val="000000" w:themeColor="text1"/>
          <w:sz w:val="32"/>
          <w:szCs w:val="32"/>
        </w:rPr>
        <w:t>T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  <w:r w:rsidRPr="00961E25">
        <w:rPr>
          <w:rFonts w:ascii="仿宋_GB2312" w:eastAsia="仿宋_GB2312"/>
          <w:color w:val="000000" w:themeColor="text1"/>
          <w:sz w:val="32"/>
          <w:szCs w:val="32"/>
        </w:rPr>
        <w:t>1908-2018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  </w:t>
      </w:r>
      <w:r w:rsidRPr="00961E25">
        <w:rPr>
          <w:rFonts w:ascii="仿宋_GB2312" w:eastAsia="仿宋_GB2312" w:hint="eastAsia"/>
          <w:color w:val="000000" w:themeColor="text1"/>
          <w:sz w:val="32"/>
          <w:szCs w:val="32"/>
        </w:rPr>
        <w:t>地理标志产品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</w:t>
      </w:r>
      <w:r w:rsidRPr="00961E25">
        <w:rPr>
          <w:rFonts w:ascii="仿宋_GB2312" w:eastAsia="仿宋_GB2312" w:hint="eastAsia"/>
          <w:color w:val="000000" w:themeColor="text1"/>
          <w:sz w:val="32"/>
          <w:szCs w:val="32"/>
        </w:rPr>
        <w:t>那林鱼养殖技术规范</w:t>
      </w:r>
    </w:p>
    <w:p w14:paraId="248BD639" w14:textId="4F8257B9" w:rsidR="00266606" w:rsidRPr="00266606" w:rsidRDefault="0026660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DB45/T 2410-2021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  </w:t>
      </w: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红罗非鱼稻田养殖技术规范</w:t>
      </w:r>
    </w:p>
    <w:p w14:paraId="219DACB5" w14:textId="77777777" w:rsidR="006B65C5" w:rsidRPr="00A82992" w:rsidRDefault="005F5D38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A82992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（三）研讨确定标准特色</w:t>
      </w:r>
      <w:r w:rsidRPr="00A82992">
        <w:rPr>
          <w:rFonts w:ascii="楷体" w:eastAsia="楷体" w:hAnsi="楷体" w:cs="楷体"/>
          <w:b/>
          <w:color w:val="000000" w:themeColor="text1"/>
          <w:sz w:val="32"/>
          <w:szCs w:val="32"/>
        </w:rPr>
        <w:t>、</w:t>
      </w:r>
      <w:r w:rsidRPr="00A82992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创新点和主体内容</w:t>
      </w:r>
    </w:p>
    <w:p w14:paraId="38F74F01" w14:textId="77777777" w:rsidR="006B65C5" w:rsidRPr="00A82992" w:rsidRDefault="005F5D38">
      <w:pPr>
        <w:pStyle w:val="affa"/>
        <w:rPr>
          <w:rFonts w:ascii="仿宋_GB2312" w:eastAsia="仿宋_GB2312"/>
          <w:color w:val="000000" w:themeColor="text1"/>
        </w:rPr>
      </w:pPr>
      <w:r w:rsidRPr="00A82992">
        <w:rPr>
          <w:rFonts w:ascii="仿宋_GB2312" w:eastAsia="仿宋_GB2312" w:hint="eastAsia"/>
          <w:color w:val="000000" w:themeColor="text1"/>
        </w:rPr>
        <w:t>标准编制工作组在对收集的资料进行整理研究之后，标准编制工作组召开了标准编制会议，对标准的整体框架结构进行了研究，并对标准的关键性内容进行了初步探讨。经过研究，标准特色、创新点和主体内容如下</w:t>
      </w:r>
      <w:r w:rsidRPr="00A82992">
        <w:rPr>
          <w:rFonts w:ascii="仿宋_GB2312" w:eastAsia="仿宋_GB2312"/>
          <w:color w:val="000000" w:themeColor="text1"/>
        </w:rPr>
        <w:t>：</w:t>
      </w:r>
    </w:p>
    <w:p w14:paraId="029EBC7F" w14:textId="77777777" w:rsidR="006B65C5" w:rsidRPr="00A82992" w:rsidRDefault="005F5D38">
      <w:pPr>
        <w:pStyle w:val="affa"/>
        <w:rPr>
          <w:rFonts w:ascii="仿宋_GB2312" w:eastAsia="仿宋_GB2312"/>
          <w:color w:val="000000" w:themeColor="text1"/>
        </w:rPr>
      </w:pPr>
      <w:r w:rsidRPr="00A82992">
        <w:rPr>
          <w:rFonts w:ascii="仿宋_GB2312" w:eastAsia="仿宋_GB2312"/>
          <w:color w:val="000000" w:themeColor="text1"/>
        </w:rPr>
        <w:t>1.</w:t>
      </w:r>
      <w:r w:rsidRPr="00A82992">
        <w:rPr>
          <w:rFonts w:ascii="仿宋_GB2312" w:eastAsia="仿宋_GB2312" w:hint="eastAsia"/>
          <w:color w:val="000000" w:themeColor="text1"/>
        </w:rPr>
        <w:t>特色</w:t>
      </w:r>
    </w:p>
    <w:p w14:paraId="1EB21387" w14:textId="083D036D" w:rsidR="006B65C5" w:rsidRPr="00A82992" w:rsidRDefault="00FE1631">
      <w:pPr>
        <w:pStyle w:val="affa"/>
        <w:rPr>
          <w:rFonts w:ascii="仿宋_GB2312" w:eastAsia="仿宋_GB2312"/>
          <w:color w:val="000000" w:themeColor="text1"/>
        </w:rPr>
      </w:pPr>
      <w:r w:rsidRPr="00FE1631">
        <w:rPr>
          <w:rFonts w:ascii="仿宋_GB2312" w:eastAsia="仿宋_GB2312" w:hint="eastAsia"/>
          <w:color w:val="000000" w:themeColor="text1"/>
        </w:rPr>
        <w:t>该标准立足横县鱼生作为广西壮族自治区级非物质文化遗产的属性，将传统工艺中“选料考究”的特点转化为标准化养殖要求。针对赤眼鳟、青竹鱼、</w:t>
      </w:r>
      <w:r w:rsidRPr="00FE1631">
        <w:rPr>
          <w:rFonts w:ascii="仿宋_GB2312" w:eastAsia="仿宋_GB2312"/>
          <w:color w:val="000000" w:themeColor="text1"/>
        </w:rPr>
        <w:t>罗非鱼</w:t>
      </w:r>
      <w:r w:rsidRPr="00FE1631">
        <w:rPr>
          <w:rFonts w:ascii="仿宋_GB2312" w:eastAsia="仿宋_GB2312" w:hint="eastAsia"/>
          <w:color w:val="000000" w:themeColor="text1"/>
        </w:rPr>
        <w:t>等传统鱼生用鱼品种，制定专属养殖规范，既保留传统风味所需的原料品质基础，又通过标</w:t>
      </w:r>
      <w:r w:rsidRPr="00FE1631">
        <w:rPr>
          <w:rFonts w:ascii="仿宋_GB2312" w:eastAsia="仿宋_GB2312" w:hint="eastAsia"/>
          <w:color w:val="000000" w:themeColor="text1"/>
        </w:rPr>
        <w:lastRenderedPageBreak/>
        <w:t>准化解决鱼生用鱼</w:t>
      </w:r>
      <w:r w:rsidRPr="00FE1631">
        <w:rPr>
          <w:rFonts w:ascii="仿宋_GB2312" w:eastAsia="仿宋_GB2312"/>
          <w:color w:val="000000" w:themeColor="text1"/>
        </w:rPr>
        <w:t>源头养殖管理</w:t>
      </w:r>
      <w:r w:rsidRPr="00FE1631">
        <w:rPr>
          <w:rFonts w:ascii="仿宋_GB2312" w:eastAsia="仿宋_GB2312" w:hint="eastAsia"/>
          <w:color w:val="000000" w:themeColor="text1"/>
        </w:rPr>
        <w:t>标准化不足的问题，实现非遗技艺活态传承与产业规模化发展的协同推进，同时将保障消费者饮食文化体验纳入核心目标，凸显对非遗饮食文化的保护与传承特色</w:t>
      </w:r>
      <w:r w:rsidR="005F5D38" w:rsidRPr="00FE1631">
        <w:rPr>
          <w:rFonts w:ascii="仿宋_GB2312" w:eastAsia="仿宋_GB2312" w:hint="eastAsia"/>
          <w:color w:val="000000" w:themeColor="text1"/>
        </w:rPr>
        <w:t>。</w:t>
      </w:r>
    </w:p>
    <w:p w14:paraId="30A3EF26" w14:textId="77777777" w:rsidR="006B65C5" w:rsidRPr="00A82992" w:rsidRDefault="005F5D38">
      <w:pPr>
        <w:pStyle w:val="affa"/>
        <w:rPr>
          <w:rFonts w:ascii="仿宋_GB2312" w:eastAsia="仿宋_GB2312"/>
          <w:color w:val="000000" w:themeColor="text1"/>
        </w:rPr>
      </w:pPr>
      <w:r w:rsidRPr="00A82992">
        <w:rPr>
          <w:rFonts w:ascii="仿宋_GB2312" w:eastAsia="仿宋_GB2312" w:hint="eastAsia"/>
          <w:color w:val="000000" w:themeColor="text1"/>
        </w:rPr>
        <w:t>2.创新点</w:t>
      </w:r>
    </w:p>
    <w:p w14:paraId="136AA838" w14:textId="44CEAF79" w:rsidR="005C1174" w:rsidRPr="005C1174" w:rsidRDefault="005C1174">
      <w:pPr>
        <w:pStyle w:val="affa"/>
        <w:rPr>
          <w:rFonts w:ascii="仿宋_GB2312" w:eastAsia="仿宋_GB2312"/>
          <w:color w:val="000000" w:themeColor="text1"/>
        </w:rPr>
      </w:pPr>
      <w:r w:rsidRPr="005C1174">
        <w:rPr>
          <w:rFonts w:ascii="仿宋_GB2312" w:eastAsia="仿宋_GB2312" w:hint="eastAsia"/>
          <w:color w:val="000000" w:themeColor="text1"/>
        </w:rPr>
        <w:t>针对不同养殖场景和鱼品种制定差异化要求，适配性强。在养殖场景方面，分别明确陆基圆池与池塘的建设规范。在鱼品种方面，针对赤眼鳟、青竹鱼等</w:t>
      </w:r>
      <w:r>
        <w:rPr>
          <w:rFonts w:ascii="仿宋_GB2312" w:eastAsia="仿宋_GB2312" w:hint="eastAsia"/>
          <w:color w:val="000000" w:themeColor="text1"/>
        </w:rPr>
        <w:t>7</w:t>
      </w:r>
      <w:r w:rsidRPr="005C1174">
        <w:rPr>
          <w:rFonts w:ascii="仿宋_GB2312" w:eastAsia="仿宋_GB2312" w:hint="eastAsia"/>
          <w:color w:val="000000" w:themeColor="text1"/>
        </w:rPr>
        <w:t>种鱼生用鱼，分别制定不同的放养密度</w:t>
      </w:r>
      <w:r w:rsidRPr="005C1174">
        <w:rPr>
          <w:rFonts w:ascii="仿宋_GB2312" w:eastAsia="仿宋_GB2312" w:hAnsi="仿宋_GB2312" w:cs="仿宋_GB2312" w:hint="eastAsia"/>
          <w:color w:val="000000" w:themeColor="text1"/>
        </w:rPr>
        <w:t>和炼鱼体重标准，符合不同品种生长特性，提升原料品质一致</w:t>
      </w:r>
      <w:r w:rsidRPr="005C1174">
        <w:rPr>
          <w:rFonts w:ascii="仿宋_GB2312" w:eastAsia="仿宋_GB2312" w:hint="eastAsia"/>
          <w:color w:val="000000" w:themeColor="text1"/>
        </w:rPr>
        <w:t>性</w:t>
      </w:r>
      <w:r w:rsidR="005F5D38" w:rsidRPr="00A82992">
        <w:rPr>
          <w:rFonts w:ascii="仿宋_GB2312" w:eastAsia="仿宋_GB2312" w:hint="eastAsia"/>
          <w:color w:val="000000" w:themeColor="text1"/>
        </w:rPr>
        <w:t>。</w:t>
      </w:r>
      <w:r w:rsidRPr="005C1174">
        <w:rPr>
          <w:rFonts w:ascii="仿宋_GB2312" w:eastAsia="仿宋_GB2312" w:hint="eastAsia"/>
          <w:color w:val="000000" w:themeColor="text1"/>
        </w:rPr>
        <w:t>针对鱼生消费中肝吸虫感染的安全风险，标准创新建立多维度防控机制，形成“源头 - 过程 - 检测”的全链条防控体系。源头方面，要求使用清洁水源，定期检测水源中肝吸虫虫卵及淡水螺等中间宿主，禁用受污染水源；过程中，通过每 667m</w:t>
      </w:r>
      <w:r w:rsidRPr="005C1174">
        <w:rPr>
          <w:rFonts w:ascii="Calibri" w:eastAsia="仿宋_GB2312" w:hAnsi="Calibri"/>
          <w:color w:val="000000" w:themeColor="text1"/>
        </w:rPr>
        <w:t>²</w:t>
      </w:r>
      <w:r w:rsidRPr="005C1174">
        <w:rPr>
          <w:rFonts w:ascii="仿宋_GB2312" w:eastAsia="仿宋_GB2312" w:hint="eastAsia"/>
          <w:color w:val="000000" w:themeColor="text1"/>
        </w:rPr>
        <w:t xml:space="preserve"> 放养 3-5kg 青鱼、使用杀螺剂或人工捕捞等方式清除纹沼螺、赤豆螺等，切断传播链，同时定期用生石灰或含氯消毒剂消毒水体；检测环节，对养殖鱼类定期抽检肝吸虫囊蚴，必要时在兽医指导下预防性用药，填补了传统鱼生用鱼养殖中寄生虫防控无专项标准的空白。</w:t>
      </w:r>
    </w:p>
    <w:p w14:paraId="37D95234" w14:textId="77777777" w:rsidR="006B65C5" w:rsidRPr="00A82992" w:rsidRDefault="005F5D38">
      <w:pPr>
        <w:pStyle w:val="affa"/>
        <w:rPr>
          <w:rFonts w:ascii="仿宋_GB2312" w:eastAsia="仿宋_GB2312"/>
          <w:color w:val="000000" w:themeColor="text1"/>
        </w:rPr>
      </w:pPr>
      <w:r w:rsidRPr="00A82992">
        <w:rPr>
          <w:rFonts w:ascii="仿宋_GB2312" w:eastAsia="仿宋_GB2312"/>
          <w:color w:val="000000" w:themeColor="text1"/>
        </w:rPr>
        <w:t>3</w:t>
      </w:r>
      <w:r w:rsidRPr="00A82992">
        <w:rPr>
          <w:rFonts w:ascii="仿宋_GB2312" w:eastAsia="仿宋_GB2312" w:hint="eastAsia"/>
          <w:color w:val="000000" w:themeColor="text1"/>
        </w:rPr>
        <w:t>.主体内容</w:t>
      </w:r>
    </w:p>
    <w:p w14:paraId="273370FB" w14:textId="060A989D" w:rsidR="006B65C5" w:rsidRPr="00A82992" w:rsidRDefault="005F5D38">
      <w:pPr>
        <w:pStyle w:val="affa"/>
        <w:rPr>
          <w:rFonts w:ascii="仿宋_GB2312" w:eastAsia="仿宋_GB2312"/>
          <w:color w:val="000000" w:themeColor="text1"/>
        </w:rPr>
      </w:pPr>
      <w:r w:rsidRPr="00A82992">
        <w:rPr>
          <w:rFonts w:ascii="仿宋_GB2312" w:eastAsia="仿宋_GB2312" w:hAnsi="Calibri" w:hint="eastAsia"/>
          <w:color w:val="000000" w:themeColor="text1"/>
        </w:rPr>
        <w:t>团体标准《</w:t>
      </w:r>
      <w:r w:rsidR="005A39CB">
        <w:rPr>
          <w:rFonts w:ascii="仿宋_GB2312" w:eastAsia="仿宋_GB2312" w:hAnsi="Calibri" w:hint="eastAsia"/>
          <w:color w:val="000000" w:themeColor="text1"/>
        </w:rPr>
        <w:t xml:space="preserve">横县鱼生全链条管理规范  </w:t>
      </w:r>
      <w:r w:rsidR="00786429">
        <w:rPr>
          <w:rFonts w:ascii="仿宋_GB2312" w:eastAsia="仿宋_GB2312" w:hAnsi="Calibri" w:hint="eastAsia"/>
          <w:color w:val="000000" w:themeColor="text1"/>
        </w:rPr>
        <w:t>第1部分</w:t>
      </w:r>
      <w:r w:rsidR="005A39CB">
        <w:rPr>
          <w:rFonts w:ascii="仿宋_GB2312" w:eastAsia="仿宋_GB2312" w:hAnsi="Calibri" w:hint="eastAsia"/>
          <w:color w:val="000000" w:themeColor="text1"/>
        </w:rPr>
        <w:t>：</w:t>
      </w:r>
      <w:r w:rsidR="00786429">
        <w:rPr>
          <w:rFonts w:ascii="仿宋_GB2312" w:eastAsia="仿宋_GB2312" w:hAnsi="Calibri" w:hint="eastAsia"/>
          <w:color w:val="000000" w:themeColor="text1"/>
        </w:rPr>
        <w:t>养殖</w:t>
      </w:r>
      <w:r w:rsidRPr="00A82992">
        <w:rPr>
          <w:rFonts w:ascii="仿宋_GB2312" w:eastAsia="仿宋_GB2312" w:hAnsi="Calibri" w:hint="eastAsia"/>
          <w:color w:val="000000" w:themeColor="text1"/>
        </w:rPr>
        <w:t>》主要内容包括</w:t>
      </w:r>
      <w:r w:rsidR="008743BF" w:rsidRPr="008743BF">
        <w:rPr>
          <w:rFonts w:ascii="仿宋_GB2312" w:eastAsia="仿宋_GB2312" w:hAnsi="Calibri" w:hint="eastAsia"/>
          <w:color w:val="000000" w:themeColor="text1"/>
        </w:rPr>
        <w:t>环境</w:t>
      </w:r>
      <w:r w:rsidR="008743BF" w:rsidRPr="008743BF">
        <w:rPr>
          <w:rFonts w:ascii="仿宋_GB2312" w:eastAsia="仿宋_GB2312" w:hAnsi="Calibri"/>
          <w:color w:val="000000" w:themeColor="text1"/>
        </w:rPr>
        <w:t>条件、鱼种、放养前准备、饲养管理、鱼病</w:t>
      </w:r>
      <w:r w:rsidR="008743BF" w:rsidRPr="008743BF">
        <w:rPr>
          <w:rFonts w:ascii="仿宋_GB2312" w:eastAsia="仿宋_GB2312" w:hAnsi="Calibri" w:hint="eastAsia"/>
          <w:color w:val="000000" w:themeColor="text1"/>
        </w:rPr>
        <w:t>及</w:t>
      </w:r>
      <w:r w:rsidR="008743BF" w:rsidRPr="008743BF">
        <w:rPr>
          <w:rFonts w:ascii="仿宋_GB2312" w:eastAsia="仿宋_GB2312" w:hAnsi="Calibri"/>
          <w:color w:val="000000" w:themeColor="text1"/>
        </w:rPr>
        <w:t>肝吸虫防治</w:t>
      </w:r>
      <w:r w:rsidRPr="00A82992">
        <w:rPr>
          <w:rFonts w:ascii="仿宋_GB2312" w:eastAsia="仿宋_GB2312" w:hAnsi="Calibri" w:hint="eastAsia"/>
          <w:color w:val="000000" w:themeColor="text1"/>
        </w:rPr>
        <w:t>等内容。</w:t>
      </w:r>
    </w:p>
    <w:p w14:paraId="7B8209B9" w14:textId="77777777" w:rsidR="006B65C5" w:rsidRPr="00A82992" w:rsidRDefault="005F5D38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A11355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（四）立项、调研及形成草案、征求意见稿</w:t>
      </w:r>
    </w:p>
    <w:p w14:paraId="46BBF56B" w14:textId="26094D3E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A82992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C41385">
        <w:rPr>
          <w:rFonts w:ascii="仿宋_GB2312" w:eastAsia="仿宋_GB2312"/>
          <w:color w:val="000000" w:themeColor="text1"/>
          <w:sz w:val="32"/>
          <w:szCs w:val="32"/>
        </w:rPr>
        <w:t>4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月，标准编制工作组查阅了大量的国内文献资料，经编制组反复讨论，对</w:t>
      </w:r>
      <w:r w:rsidR="009A6EA6" w:rsidRPr="0026660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 w:rsidRPr="00266606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的实践情况进行系统总结，形成了标准的基本构架，对主要内容进行了讨论并对项目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的工作进行了部署和安排。</w:t>
      </w:r>
    </w:p>
    <w:p w14:paraId="33C2E369" w14:textId="58A6C769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A82992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C41385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月～</w:t>
      </w:r>
      <w:r w:rsidR="00C41385">
        <w:rPr>
          <w:rFonts w:ascii="仿宋_GB2312" w:eastAsia="仿宋_GB2312"/>
          <w:color w:val="000000" w:themeColor="text1"/>
          <w:sz w:val="32"/>
          <w:szCs w:val="32"/>
        </w:rPr>
        <w:t>6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月，在前期工作的基础之上，通过理清逻辑脉络，整合已有参考资料中有关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的要求，并在目前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实际操作的基础上，按照简化、统一等原则编制完成团体标准《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》（草案）。</w:t>
      </w:r>
    </w:p>
    <w:p w14:paraId="4208392B" w14:textId="4826B46E" w:rsidR="00883A1D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A82992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C41385">
        <w:rPr>
          <w:rFonts w:ascii="仿宋_GB2312" w:eastAsia="仿宋_GB2312"/>
          <w:color w:val="000000" w:themeColor="text1"/>
          <w:sz w:val="32"/>
          <w:szCs w:val="32"/>
        </w:rPr>
        <w:t>7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月～</w:t>
      </w:r>
      <w:r w:rsidR="00C41385">
        <w:rPr>
          <w:rFonts w:ascii="仿宋_GB2312" w:eastAsia="仿宋_GB2312"/>
          <w:color w:val="000000" w:themeColor="text1"/>
          <w:sz w:val="32"/>
          <w:szCs w:val="32"/>
        </w:rPr>
        <w:t>8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月，</w:t>
      </w:r>
      <w:r w:rsidR="00883A1D" w:rsidRPr="00883A1D">
        <w:rPr>
          <w:rFonts w:ascii="仿宋_GB2312" w:eastAsia="仿宋_GB2312" w:hint="eastAsia"/>
          <w:color w:val="000000" w:themeColor="text1"/>
          <w:sz w:val="32"/>
          <w:szCs w:val="32"/>
        </w:rPr>
        <w:t>标准起草工作组到</w:t>
      </w:r>
      <w:r w:rsidR="00883A1D">
        <w:rPr>
          <w:rFonts w:ascii="仿宋_GB2312" w:eastAsia="仿宋_GB2312" w:hint="eastAsia"/>
          <w:color w:val="000000" w:themeColor="text1"/>
          <w:sz w:val="32"/>
          <w:szCs w:val="32"/>
        </w:rPr>
        <w:t>广西</w:t>
      </w:r>
      <w:r w:rsidR="00883A1D">
        <w:rPr>
          <w:rFonts w:ascii="仿宋_GB2312" w:eastAsia="仿宋_GB2312"/>
          <w:color w:val="000000" w:themeColor="text1"/>
          <w:sz w:val="32"/>
          <w:szCs w:val="32"/>
        </w:rPr>
        <w:t>标准</w:t>
      </w:r>
      <w:r w:rsidR="00883A1D">
        <w:rPr>
          <w:rFonts w:ascii="仿宋_GB2312" w:eastAsia="仿宋_GB2312" w:hint="eastAsia"/>
          <w:color w:val="000000" w:themeColor="text1"/>
          <w:sz w:val="32"/>
          <w:szCs w:val="32"/>
        </w:rPr>
        <w:t>化</w:t>
      </w:r>
      <w:r w:rsidR="00883A1D">
        <w:rPr>
          <w:rFonts w:ascii="仿宋_GB2312" w:eastAsia="仿宋_GB2312"/>
          <w:color w:val="000000" w:themeColor="text1"/>
          <w:sz w:val="32"/>
          <w:szCs w:val="32"/>
        </w:rPr>
        <w:t>协</w:t>
      </w:r>
      <w:r w:rsidR="00883A1D" w:rsidRPr="001F1AA9">
        <w:rPr>
          <w:rFonts w:ascii="仿宋_GB2312" w:eastAsia="仿宋_GB2312"/>
          <w:color w:val="000000" w:themeColor="text1"/>
          <w:sz w:val="32"/>
          <w:szCs w:val="32"/>
        </w:rPr>
        <w:t>会</w:t>
      </w:r>
      <w:r w:rsidR="00883A1D" w:rsidRPr="001F1AA9">
        <w:rPr>
          <w:rFonts w:ascii="仿宋_GB2312" w:eastAsia="仿宋_GB2312" w:hint="eastAsia"/>
          <w:color w:val="000000" w:themeColor="text1"/>
          <w:sz w:val="32"/>
          <w:szCs w:val="32"/>
        </w:rPr>
        <w:t>、南宁市金渔水产有限公司、广西桂之渔农业科技有限公司等单</w:t>
      </w:r>
      <w:r w:rsidR="00883A1D" w:rsidRPr="00883A1D">
        <w:rPr>
          <w:rFonts w:ascii="仿宋_GB2312" w:eastAsia="仿宋_GB2312" w:hint="eastAsia"/>
          <w:color w:val="000000" w:themeColor="text1"/>
          <w:sz w:val="32"/>
          <w:szCs w:val="32"/>
        </w:rPr>
        <w:t>位</w:t>
      </w:r>
      <w:r w:rsidR="00883A1D">
        <w:rPr>
          <w:rFonts w:ascii="仿宋_GB2312" w:eastAsia="仿宋_GB2312" w:hint="eastAsia"/>
          <w:color w:val="000000" w:themeColor="text1"/>
          <w:sz w:val="32"/>
          <w:szCs w:val="32"/>
        </w:rPr>
        <w:t>、水产</w:t>
      </w:r>
      <w:r w:rsidR="00883A1D">
        <w:rPr>
          <w:rFonts w:ascii="仿宋_GB2312" w:eastAsia="仿宋_GB2312"/>
          <w:color w:val="000000" w:themeColor="text1"/>
          <w:sz w:val="32"/>
          <w:szCs w:val="32"/>
        </w:rPr>
        <w:t>养殖</w:t>
      </w:r>
      <w:r w:rsidR="00883A1D">
        <w:rPr>
          <w:rFonts w:ascii="仿宋_GB2312" w:eastAsia="仿宋_GB2312" w:hint="eastAsia"/>
          <w:color w:val="000000" w:themeColor="text1"/>
          <w:sz w:val="32"/>
          <w:szCs w:val="32"/>
        </w:rPr>
        <w:t>企业</w:t>
      </w:r>
      <w:r w:rsidR="00883A1D" w:rsidRPr="00883A1D">
        <w:rPr>
          <w:rFonts w:ascii="仿宋_GB2312" w:eastAsia="仿宋_GB2312" w:hint="eastAsia"/>
          <w:color w:val="000000" w:themeColor="text1"/>
          <w:sz w:val="32"/>
          <w:szCs w:val="32"/>
        </w:rPr>
        <w:t>开展研讨会，通过座谈交流、实地调研等方式掌握各单位或企业对横县鱼生全链条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="00883A1D" w:rsidRPr="00883A1D">
        <w:rPr>
          <w:rFonts w:ascii="仿宋_GB2312" w:eastAsia="仿宋_GB2312" w:hint="eastAsia"/>
          <w:color w:val="000000" w:themeColor="text1"/>
          <w:sz w:val="32"/>
          <w:szCs w:val="32"/>
        </w:rPr>
        <w:t xml:space="preserve">的具体技术要求（见图1）。通过召开研讨会或征求意见的方式收集各方修改意见，对标准草案进行了反复修改和研究讨论，形成了团体标准《横县鱼生全链条管理规范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883A1D" w:rsidRPr="00883A1D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="00883A1D" w:rsidRPr="00883A1D">
        <w:rPr>
          <w:rFonts w:ascii="仿宋_GB2312" w:eastAsia="仿宋_GB2312" w:hint="eastAsia"/>
          <w:color w:val="000000" w:themeColor="text1"/>
          <w:sz w:val="32"/>
          <w:szCs w:val="32"/>
        </w:rPr>
        <w:t>》（征求意见稿）和（征求意见稿）编制说明。</w:t>
      </w:r>
    </w:p>
    <w:tbl>
      <w:tblPr>
        <w:tblStyle w:val="aff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386"/>
        <w:gridCol w:w="429"/>
      </w:tblGrid>
      <w:tr w:rsidR="00D1006C" w14:paraId="5E6DAC36" w14:textId="77777777" w:rsidTr="00D1006C">
        <w:trPr>
          <w:gridAfter w:val="1"/>
          <w:wAfter w:w="429" w:type="dxa"/>
        </w:trPr>
        <w:tc>
          <w:tcPr>
            <w:tcW w:w="4359" w:type="dxa"/>
          </w:tcPr>
          <w:p w14:paraId="10EBBF66" w14:textId="56ECA170" w:rsidR="00D1006C" w:rsidRDefault="00D1006C" w:rsidP="00D1006C">
            <w:pPr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74CA206A" wp14:editId="5E4F728B">
                  <wp:extent cx="2631431" cy="14795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鱼生调研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878" cy="1502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6" w:type="dxa"/>
          </w:tcPr>
          <w:p w14:paraId="3F1A563D" w14:textId="7F157859" w:rsidR="00D1006C" w:rsidRDefault="00D1006C" w:rsidP="00D1006C">
            <w:pPr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02371328" wp14:editId="449149C8">
                  <wp:extent cx="2646680" cy="1487908"/>
                  <wp:effectExtent l="0" t="0" r="127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鱼生调研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6680" cy="148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06C" w14:paraId="631BB6B7" w14:textId="77777777" w:rsidTr="00D1006C">
        <w:trPr>
          <w:gridAfter w:val="1"/>
          <w:wAfter w:w="429" w:type="dxa"/>
        </w:trPr>
        <w:tc>
          <w:tcPr>
            <w:tcW w:w="8745" w:type="dxa"/>
            <w:gridSpan w:val="2"/>
            <w:vAlign w:val="center"/>
          </w:tcPr>
          <w:p w14:paraId="738C295C" w14:textId="6717DA6A" w:rsidR="00D1006C" w:rsidRDefault="00D1006C" w:rsidP="00D1006C">
            <w:pPr>
              <w:jc w:val="center"/>
              <w:rPr>
                <w:rFonts w:ascii="仿宋_GB2312" w:eastAsia="仿宋_GB2312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09EF7A5F" wp14:editId="43363360">
                  <wp:extent cx="2672080" cy="1502187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鱼生调研3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2080" cy="1502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2992" w:rsidRPr="00A82992" w14:paraId="11F351A5" w14:textId="77777777">
        <w:tc>
          <w:tcPr>
            <w:tcW w:w="9174" w:type="dxa"/>
            <w:gridSpan w:val="3"/>
          </w:tcPr>
          <w:p w14:paraId="7C1A2466" w14:textId="77777777" w:rsidR="006B65C5" w:rsidRPr="00A82992" w:rsidRDefault="005F5D38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A82992">
              <w:rPr>
                <w:rFonts w:ascii="仿宋_GB2312" w:eastAsia="仿宋_GB2312" w:hint="eastAsia"/>
                <w:color w:val="000000" w:themeColor="text1"/>
                <w:szCs w:val="32"/>
              </w:rPr>
              <w:t>图1  起草编制组开展项目研讨会</w:t>
            </w:r>
          </w:p>
        </w:tc>
      </w:tr>
    </w:tbl>
    <w:p w14:paraId="3E8FF2B2" w14:textId="77777777" w:rsidR="006B65C5" w:rsidRPr="00A82992" w:rsidRDefault="005F5D38">
      <w:pPr>
        <w:autoSpaceDE w:val="0"/>
        <w:autoSpaceDN w:val="0"/>
        <w:adjustRightInd w:val="0"/>
        <w:spacing w:beforeLines="50" w:before="120" w:afterLines="50" w:after="120"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A82992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四、制定标准的原则和依据，与现行法律、法规的关系，与有关国家标准、行业标准的协调情况</w:t>
      </w:r>
    </w:p>
    <w:p w14:paraId="335E62A4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lastRenderedPageBreak/>
        <w:t>（一）编制原则</w:t>
      </w:r>
    </w:p>
    <w:p w14:paraId="46FB0E76" w14:textId="77777777" w:rsidR="006B65C5" w:rsidRPr="00A82992" w:rsidRDefault="005F5D38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A82992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1、实用性原则</w:t>
      </w:r>
    </w:p>
    <w:p w14:paraId="28669963" w14:textId="1E0E4981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本标准是在充分收集国内外相关资料和文献、调研分析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现状，结合起草单位前期研究工作取得的研究成果及积累的实践经验，并借鉴国内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进行总结起草的，符合工作实际，有利于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的实施与推广，具有可操作性和实用性。</w:t>
      </w:r>
    </w:p>
    <w:p w14:paraId="0317409D" w14:textId="77777777" w:rsidR="006B65C5" w:rsidRPr="00A82992" w:rsidRDefault="005F5D38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A82992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2、协调性原则</w:t>
      </w:r>
    </w:p>
    <w:p w14:paraId="2E166BC0" w14:textId="56FA06E2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本文件编写过程中注意了与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相关法律法规的协调问题，在内容上与现行法律法规、标准协调一致。</w:t>
      </w:r>
    </w:p>
    <w:p w14:paraId="2D307EBE" w14:textId="77777777" w:rsidR="006B65C5" w:rsidRPr="00A82992" w:rsidRDefault="005F5D38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A82992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3、规范性原则</w:t>
      </w:r>
    </w:p>
    <w:p w14:paraId="387B0F46" w14:textId="77777777" w:rsidR="006B65C5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本文件严格按照GB/T 1.1—2020《标准化工作规范  第1部分：标准化文件的结构和起草规则》编写本标准的内容，保证标准的编写质量。</w:t>
      </w:r>
    </w:p>
    <w:p w14:paraId="6405B882" w14:textId="77777777" w:rsidR="006B65C5" w:rsidRPr="00A82992" w:rsidRDefault="005F5D38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A82992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4、前瞻性原则</w:t>
      </w:r>
    </w:p>
    <w:p w14:paraId="4A844963" w14:textId="50B5B68D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本文件在兼顾当前区内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现实情况的同时，还考虑到了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的需要，在标准中体现了个别特色性、前瞻性和先进性条款，作为对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的指导。</w:t>
      </w:r>
    </w:p>
    <w:p w14:paraId="500045F6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（二）编制依据</w:t>
      </w:r>
    </w:p>
    <w:p w14:paraId="3588D6E5" w14:textId="53375B06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本标准严格按照GB/T 1.1—2020《标准化工作规范  第1部分：标准化文件的结构和起草规则》的规则起草，标准主要内容依据起草单位在</w:t>
      </w:r>
      <w:r w:rsidR="009A6EA6">
        <w:rPr>
          <w:rFonts w:ascii="仿宋_GB2312" w:eastAsia="仿宋_GB2312" w:hint="eastAsia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过程中的实践经验确定。</w:t>
      </w:r>
    </w:p>
    <w:p w14:paraId="5DA8D194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（三）与现行法律、法规的关系，与有关国家标准、行业标准的协调情况</w:t>
      </w:r>
    </w:p>
    <w:p w14:paraId="307CF20F" w14:textId="77777777" w:rsidR="006B65C5" w:rsidRPr="001F1AA9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t>本标准与相关法律法规、强制性标准协调一致，无冲突。</w:t>
      </w:r>
    </w:p>
    <w:p w14:paraId="445EF461" w14:textId="251F4C9A" w:rsidR="006B65C5" w:rsidRPr="00A82992" w:rsidRDefault="005F5D38" w:rsidP="0026660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经查阅，与</w:t>
      </w:r>
      <w:r w:rsidR="001F1AA9" w:rsidRPr="001F1AA9">
        <w:rPr>
          <w:rFonts w:ascii="仿宋_GB2312" w:eastAsia="仿宋_GB2312" w:hint="eastAsia"/>
          <w:color w:val="000000" w:themeColor="text1"/>
          <w:sz w:val="32"/>
          <w:szCs w:val="32"/>
        </w:rPr>
        <w:t>“鱼生”“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="001F1AA9" w:rsidRPr="001F1AA9">
        <w:rPr>
          <w:rFonts w:ascii="仿宋_GB2312" w:eastAsia="仿宋_GB2312" w:hint="eastAsia"/>
          <w:color w:val="000000" w:themeColor="text1"/>
          <w:sz w:val="32"/>
          <w:szCs w:val="32"/>
        </w:rPr>
        <w:t>”</w:t>
      </w: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t>相关的现行标准有《</w:t>
      </w:r>
      <w:r w:rsidR="00266606" w:rsidRPr="00266606">
        <w:rPr>
          <w:rFonts w:ascii="仿宋_GB2312" w:eastAsia="仿宋_GB2312" w:hint="eastAsia"/>
          <w:color w:val="000000" w:themeColor="text1"/>
          <w:sz w:val="32"/>
          <w:szCs w:val="32"/>
        </w:rPr>
        <w:t>T/SDRA 37.1-2024顺德鱼生全链条管理规范 第1部分：养殖技术》《T/GXAS 1081-2025  横县鱼生制作技术规程》《DB45/T 1908-2018  地理标志产品  那林鱼养殖技术规范》《DB45/T 2410-2021  红罗非鱼稻田养殖技术规范</w:t>
      </w: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t>》</w:t>
      </w:r>
      <w:r w:rsidR="001F1AA9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1F1AA9">
        <w:rPr>
          <w:rFonts w:ascii="仿宋_GB2312" w:eastAsia="仿宋_GB2312"/>
          <w:color w:val="000000" w:themeColor="text1"/>
          <w:sz w:val="32"/>
          <w:szCs w:val="32"/>
        </w:rPr>
        <w:t>其中</w:t>
      </w:r>
      <w:r w:rsidR="001F1AA9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</w:p>
    <w:p w14:paraId="4238CEBD" w14:textId="1732E62D" w:rsidR="001F1AA9" w:rsidRDefault="001F1AA9" w:rsidP="0026660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t>《</w:t>
      </w:r>
      <w:r w:rsidR="00266606" w:rsidRPr="00266606">
        <w:rPr>
          <w:rFonts w:ascii="仿宋_GB2312" w:eastAsia="仿宋_GB2312" w:hint="eastAsia"/>
          <w:color w:val="000000" w:themeColor="text1"/>
          <w:sz w:val="32"/>
          <w:szCs w:val="32"/>
        </w:rPr>
        <w:t>T/SDRA 37.1-2024顺德鱼生全链条管理规范 第1部分：养殖技术</w:t>
      </w: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t>》</w:t>
      </w:r>
      <w:r w:rsidR="00445A19" w:rsidRPr="00445A19">
        <w:rPr>
          <w:rFonts w:ascii="仿宋_GB2312" w:eastAsia="仿宋_GB2312" w:hint="eastAsia"/>
          <w:color w:val="000000" w:themeColor="text1"/>
          <w:sz w:val="32"/>
          <w:szCs w:val="32"/>
        </w:rPr>
        <w:t>规定了</w:t>
      </w:r>
      <w:r w:rsidR="00266606" w:rsidRPr="00266606">
        <w:rPr>
          <w:rFonts w:ascii="仿宋_GB2312" w:eastAsia="仿宋_GB2312" w:hint="eastAsia"/>
          <w:color w:val="000000" w:themeColor="text1"/>
          <w:sz w:val="32"/>
          <w:szCs w:val="32"/>
        </w:rPr>
        <w:t>顺德鱼生专用鱼的养殖场所、鱼种、养殖过程、病害防治及药残控制、成鱼要求、试验方法、检验管理、人员管理、记录管理。适用于以草鱼为顺德鱼生专用鱼原料的养殖要求。</w:t>
      </w:r>
    </w:p>
    <w:p w14:paraId="106362E7" w14:textId="03F89EC9" w:rsidR="00445A19" w:rsidRDefault="001F1AA9" w:rsidP="00445A19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F1AA9">
        <w:rPr>
          <w:rFonts w:ascii="仿宋_GB2312" w:eastAsia="仿宋_GB2312" w:hint="eastAsia"/>
          <w:color w:val="000000" w:themeColor="text1"/>
          <w:sz w:val="32"/>
          <w:szCs w:val="32"/>
        </w:rPr>
        <w:t>《T/GXAS 1081-2025  横县鱼生制作技术规程》</w:t>
      </w:r>
      <w:r w:rsidR="00445A19" w:rsidRPr="00445A19">
        <w:rPr>
          <w:rFonts w:ascii="仿宋_GB2312" w:eastAsia="仿宋_GB2312" w:hint="eastAsia"/>
          <w:color w:val="000000" w:themeColor="text1"/>
          <w:sz w:val="32"/>
          <w:szCs w:val="32"/>
        </w:rPr>
        <w:t>界定了横县鱼生制作技术涉及的术语和定义，确立了横县鱼生制作程序，规定了横县鱼生制作过程卫生要求、专用器具要求以及选料、清养、致晕及放血、起肉、剥皮、切片、成品盛装的操作指示，描述了横县鱼生的食用方法。适用于横县鱼生的制作，其他地方鱼生制作可参照执行。</w:t>
      </w:r>
    </w:p>
    <w:p w14:paraId="06767DDD" w14:textId="267C0C64" w:rsidR="00266606" w:rsidRDefault="00266606" w:rsidP="0026660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《DB45/T 1908-2018  地理标志产品  那林鱼养殖技术规范》规定了地理标志产品那林鱼养殖的术语和定义、环境条件鱼种、放养前准备、饲养管理、鱼病防治、捕捞、暂养及养殖记录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适用于地理标志产品那林鱼的养殖。</w:t>
      </w:r>
    </w:p>
    <w:p w14:paraId="0445C3B3" w14:textId="100ACC5A" w:rsidR="006B65C5" w:rsidRPr="00A82992" w:rsidRDefault="00266606" w:rsidP="0030777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66606">
        <w:rPr>
          <w:rFonts w:ascii="仿宋_GB2312" w:eastAsia="仿宋_GB2312" w:hint="eastAsia"/>
          <w:color w:val="000000" w:themeColor="text1"/>
          <w:sz w:val="32"/>
          <w:szCs w:val="32"/>
        </w:rPr>
        <w:t>《DB45/T 2410-2021  红罗非鱼稻田养殖技术规范》</w:t>
      </w:r>
      <w:r w:rsidR="00307774" w:rsidRPr="00307774">
        <w:rPr>
          <w:rFonts w:ascii="仿宋_GB2312" w:eastAsia="仿宋_GB2312" w:hint="eastAsia"/>
          <w:color w:val="000000" w:themeColor="text1"/>
          <w:sz w:val="32"/>
          <w:szCs w:val="32"/>
        </w:rPr>
        <w:t>规定了红罗非鱼稻田养殖的技术要求。适用于广西壮族自治区行政区域内红罗非鱼的稻田养殖</w:t>
      </w:r>
      <w:r w:rsidR="005F5D38" w:rsidRPr="00A82992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037159B0" w14:textId="40E2E69A" w:rsidR="006B65C5" w:rsidRPr="00A82992" w:rsidRDefault="005F5D38" w:rsidP="0036129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综上所述，目前与关键词</w:t>
      </w:r>
      <w:r w:rsidR="00361296">
        <w:rPr>
          <w:rFonts w:ascii="仿宋_GB2312" w:eastAsia="仿宋_GB2312" w:hint="eastAsia"/>
          <w:color w:val="000000" w:themeColor="text1"/>
          <w:sz w:val="32"/>
          <w:szCs w:val="32"/>
        </w:rPr>
        <w:t>较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相关的标准</w:t>
      </w:r>
      <w:r w:rsidR="00361296">
        <w:rPr>
          <w:rFonts w:ascii="仿宋_GB2312" w:eastAsia="仿宋_GB2312" w:hint="eastAsia"/>
          <w:color w:val="000000" w:themeColor="text1"/>
          <w:sz w:val="32"/>
          <w:szCs w:val="32"/>
        </w:rPr>
        <w:t>为</w:t>
      </w:r>
      <w:r w:rsidR="00361296" w:rsidRPr="00361296">
        <w:rPr>
          <w:rFonts w:ascii="仿宋_GB2312" w:eastAsia="仿宋_GB2312" w:hint="eastAsia"/>
          <w:color w:val="000000" w:themeColor="text1"/>
          <w:sz w:val="32"/>
          <w:szCs w:val="32"/>
        </w:rPr>
        <w:t>《</w:t>
      </w:r>
      <w:r w:rsidR="00307774" w:rsidRPr="00307774">
        <w:rPr>
          <w:rFonts w:ascii="仿宋_GB2312" w:eastAsia="仿宋_GB2312" w:hint="eastAsia"/>
          <w:color w:val="000000" w:themeColor="text1"/>
          <w:sz w:val="32"/>
          <w:szCs w:val="32"/>
        </w:rPr>
        <w:t>T/SDRA 37.1-2024顺德鱼生全链条管理规范 第1部分：养殖技术</w:t>
      </w:r>
      <w:r w:rsidR="00361296" w:rsidRPr="00361296">
        <w:rPr>
          <w:rFonts w:ascii="仿宋_GB2312" w:eastAsia="仿宋_GB2312" w:hint="eastAsia"/>
          <w:color w:val="000000" w:themeColor="text1"/>
          <w:sz w:val="32"/>
          <w:szCs w:val="32"/>
        </w:rPr>
        <w:t>》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，但是</w:t>
      </w:r>
      <w:r w:rsidR="00361296">
        <w:rPr>
          <w:rFonts w:ascii="仿宋_GB2312" w:eastAsia="仿宋_GB2312" w:hint="eastAsia"/>
          <w:color w:val="000000" w:themeColor="text1"/>
          <w:sz w:val="32"/>
          <w:szCs w:val="32"/>
        </w:rPr>
        <w:t>本标准对于</w:t>
      </w:r>
      <w:r w:rsidR="00361296" w:rsidRPr="003C0DAA">
        <w:rPr>
          <w:rFonts w:ascii="仿宋_GB2312" w:eastAsia="仿宋_GB2312"/>
          <w:color w:val="000000" w:themeColor="text1"/>
          <w:sz w:val="32"/>
          <w:szCs w:val="32"/>
        </w:rPr>
        <w:t>横县鱼生全链条</w:t>
      </w:r>
      <w:r w:rsidR="00786429" w:rsidRPr="003C0DAA">
        <w:rPr>
          <w:rFonts w:ascii="仿宋_GB2312" w:eastAsia="仿宋_GB2312"/>
          <w:color w:val="000000" w:themeColor="text1"/>
          <w:sz w:val="32"/>
          <w:szCs w:val="32"/>
        </w:rPr>
        <w:t>养殖</w:t>
      </w:r>
      <w:r w:rsidR="00361296" w:rsidRPr="003C0DAA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361296" w:rsidRPr="003C0DAA">
        <w:rPr>
          <w:rFonts w:ascii="仿宋_GB2312" w:eastAsia="仿宋_GB2312"/>
          <w:color w:val="000000" w:themeColor="text1"/>
          <w:sz w:val="32"/>
          <w:szCs w:val="32"/>
        </w:rPr>
        <w:t>关注点在于</w:t>
      </w:r>
      <w:r w:rsidR="00670A8B" w:rsidRPr="003C0DAA">
        <w:rPr>
          <w:rFonts w:ascii="仿宋_GB2312" w:eastAsia="仿宋_GB2312" w:hint="eastAsia"/>
          <w:color w:val="000000" w:themeColor="text1"/>
          <w:sz w:val="32"/>
          <w:szCs w:val="32"/>
        </w:rPr>
        <w:t>针对不同养殖场景和鱼品种制定差异化要求，适配性强。在养殖场景方面，分别明确陆</w:t>
      </w:r>
      <w:r w:rsidR="00670A8B" w:rsidRPr="003C0DAA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基圆池与池塘的建设规范。在鱼品种方面，针对赤眼鳟、青竹鱼等7种鱼生用鱼，分别制定不同的放养密度和炼鱼体重标准，符合不同品种生长特性，提升原料品质一致性。针对鱼生消费中肝吸虫感染的安全风险，标准创新建立多维度防控机制，形成“源头 - 过程 - 检测”的全链条防控体系。源头方面，要求使用清洁水源，定期检测水源中肝吸虫虫卵及淡水螺等中间宿主，禁用受污染水源；过程中，通过每 667m</w:t>
      </w:r>
      <w:r w:rsidR="00670A8B" w:rsidRPr="003C0DAA">
        <w:rPr>
          <w:rFonts w:eastAsia="仿宋_GB2312"/>
          <w:color w:val="000000" w:themeColor="text1"/>
          <w:sz w:val="32"/>
          <w:szCs w:val="32"/>
        </w:rPr>
        <w:t>²</w:t>
      </w:r>
      <w:r w:rsidR="00670A8B" w:rsidRPr="003C0DAA">
        <w:rPr>
          <w:rFonts w:ascii="仿宋_GB2312" w:eastAsia="仿宋_GB2312" w:hint="eastAsia"/>
          <w:color w:val="000000" w:themeColor="text1"/>
          <w:sz w:val="32"/>
          <w:szCs w:val="32"/>
        </w:rPr>
        <w:t xml:space="preserve"> 放养 3-5kg 青鱼、使用杀螺剂或人工捕捞等方式清除纹沼螺、赤豆螺等，切断传播链，同时定期用生石灰或含氯消毒剂消毒水体；检测环节，对养殖鱼类定期抽检肝吸虫囊蚴，必要时在兽医指导下预防性用药，填补了传统鱼生用鱼养殖中寄生虫防控无专项标准的空白</w:t>
      </w:r>
      <w:r w:rsidR="00361296">
        <w:rPr>
          <w:rFonts w:ascii="仿宋_GB2312" w:eastAsia="仿宋_GB2312"/>
          <w:color w:val="000000" w:themeColor="text1"/>
          <w:sz w:val="32"/>
          <w:szCs w:val="32"/>
        </w:rPr>
        <w:t>。</w:t>
      </w:r>
      <w:r w:rsidR="00827184">
        <w:rPr>
          <w:rFonts w:ascii="仿宋_GB2312" w:eastAsia="仿宋_GB2312" w:hint="eastAsia"/>
          <w:color w:val="000000" w:themeColor="text1"/>
          <w:sz w:val="32"/>
          <w:szCs w:val="32"/>
        </w:rPr>
        <w:t>其他</w:t>
      </w:r>
      <w:r w:rsidR="00827184">
        <w:rPr>
          <w:rFonts w:ascii="仿宋_GB2312" w:eastAsia="仿宋_GB2312"/>
          <w:color w:val="000000" w:themeColor="text1"/>
          <w:sz w:val="32"/>
          <w:szCs w:val="32"/>
        </w:rPr>
        <w:t>检索标准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不涉及</w:t>
      </w:r>
      <w:r w:rsidR="00827184" w:rsidRPr="00827184">
        <w:rPr>
          <w:rFonts w:ascii="仿宋_GB2312" w:eastAsia="仿宋_GB2312"/>
          <w:color w:val="000000" w:themeColor="text1"/>
          <w:sz w:val="32"/>
          <w:szCs w:val="32"/>
        </w:rPr>
        <w:t>横县鱼生全链条</w:t>
      </w:r>
      <w:r w:rsidR="00786429">
        <w:rPr>
          <w:rFonts w:ascii="仿宋_GB2312" w:eastAsia="仿宋_GB2312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相关技术，</w:t>
      </w:r>
      <w:r w:rsidR="00827184">
        <w:rPr>
          <w:rFonts w:ascii="仿宋_GB2312" w:eastAsia="仿宋_GB2312" w:hint="eastAsia"/>
          <w:color w:val="000000" w:themeColor="text1"/>
          <w:sz w:val="32"/>
          <w:szCs w:val="32"/>
        </w:rPr>
        <w:t>无法适用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2E8A5622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本标准的内容与现行的法律法规及强制性标准无冲突，本文件相关指标不低于强制性国家标准的相关技术要求，标准的编写符合GB/T 1.1—2020的要求。</w:t>
      </w:r>
    </w:p>
    <w:p w14:paraId="0C171BBD" w14:textId="77777777" w:rsidR="006B65C5" w:rsidRPr="00A82992" w:rsidRDefault="005F5D38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A82992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五、主要条款的说明</w:t>
      </w:r>
    </w:p>
    <w:p w14:paraId="6D8FDCC7" w14:textId="4357AE9D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  <w:highlight w:val="yellow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》的核心技术和创新点在于：</w:t>
      </w:r>
      <w:r w:rsidR="000F61A7" w:rsidRPr="000F61A7">
        <w:rPr>
          <w:rFonts w:ascii="仿宋_GB2312" w:eastAsia="仿宋_GB2312" w:hint="eastAsia"/>
          <w:color w:val="000000" w:themeColor="text1"/>
          <w:sz w:val="32"/>
          <w:szCs w:val="32"/>
        </w:rPr>
        <w:t>针对不同养殖场景和鱼品种制定差异化要求，适配性强。在养殖场景方面，分别明确陆基圆池与池塘的建设规范。在鱼品种方面，针对赤眼鳟、青竹鱼等7种鱼生用鱼，分别制定不同的放养密度和炼鱼体重标准，符合不同品种生长特性，提升原料品质一致性。针对鱼生消费中肝吸虫感染的安全风险，标准创新建立多维度防控机制，形成“源头 - 过程 - 检测”的全链条防控体系。源头方面，要求使用清洁水源，定期检测水源中肝吸虫虫卵及淡水螺等中间宿主，禁用受污染水源；过程中，通过每 667m</w:t>
      </w:r>
      <w:r w:rsidR="000F61A7" w:rsidRPr="000F61A7">
        <w:rPr>
          <w:rFonts w:eastAsia="仿宋_GB2312"/>
          <w:color w:val="000000" w:themeColor="text1"/>
          <w:sz w:val="32"/>
          <w:szCs w:val="32"/>
        </w:rPr>
        <w:t>²</w:t>
      </w:r>
      <w:r w:rsidR="000F61A7" w:rsidRPr="000F61A7">
        <w:rPr>
          <w:rFonts w:ascii="仿宋_GB2312" w:eastAsia="仿宋_GB2312" w:hint="eastAsia"/>
          <w:color w:val="000000" w:themeColor="text1"/>
          <w:sz w:val="32"/>
          <w:szCs w:val="32"/>
        </w:rPr>
        <w:t xml:space="preserve"> 放养 3-5kg 青鱼、使用杀螺剂或人工捕捞等方式</w:t>
      </w:r>
      <w:r w:rsidR="000F61A7" w:rsidRPr="000F61A7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清除纹沼螺、赤豆螺等，切断传播链，同时定期用生石灰或含氯消毒剂消毒水体；检测环节，对养殖鱼类定期抽检肝吸虫囊蚴，必要时在兽医指导下</w:t>
      </w:r>
      <w:r w:rsidR="008A0B3F">
        <w:rPr>
          <w:rFonts w:ascii="仿宋_GB2312" w:eastAsia="仿宋_GB2312" w:hint="eastAsia"/>
          <w:color w:val="000000" w:themeColor="text1"/>
          <w:sz w:val="32"/>
          <w:szCs w:val="32"/>
        </w:rPr>
        <w:t>预防性用药，填补了传统鱼生用鱼养殖中寄生虫防控无专项标准的空白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75B8B580" w14:textId="05AC49C7" w:rsidR="0012584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 w:rsidR="00786429"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》主要内容包括</w:t>
      </w:r>
      <w:r w:rsidR="002E6F0F">
        <w:rPr>
          <w:rFonts w:ascii="仿宋_GB2312" w:eastAsia="仿宋_GB2312" w:hint="eastAsia"/>
          <w:color w:val="000000" w:themeColor="text1"/>
          <w:sz w:val="32"/>
          <w:szCs w:val="32"/>
        </w:rPr>
        <w:t>环境</w:t>
      </w:r>
      <w:r w:rsidR="002E6F0F">
        <w:rPr>
          <w:rFonts w:ascii="仿宋_GB2312" w:eastAsia="仿宋_GB2312"/>
          <w:color w:val="000000" w:themeColor="text1"/>
          <w:sz w:val="32"/>
          <w:szCs w:val="32"/>
        </w:rPr>
        <w:t>条件、鱼种、放养前准备、饲养管理、鱼病</w:t>
      </w:r>
      <w:r w:rsidR="002E6F0F">
        <w:rPr>
          <w:rFonts w:ascii="仿宋_GB2312" w:eastAsia="仿宋_GB2312" w:hint="eastAsia"/>
          <w:color w:val="000000" w:themeColor="text1"/>
          <w:sz w:val="32"/>
          <w:szCs w:val="32"/>
        </w:rPr>
        <w:t>及</w:t>
      </w:r>
      <w:r w:rsidR="002E6F0F">
        <w:rPr>
          <w:rFonts w:ascii="仿宋_GB2312" w:eastAsia="仿宋_GB2312"/>
          <w:color w:val="000000" w:themeColor="text1"/>
          <w:sz w:val="32"/>
          <w:szCs w:val="32"/>
        </w:rPr>
        <w:t>肝吸虫防治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等内容。主要内容及依据来源说明如下：</w:t>
      </w:r>
    </w:p>
    <w:p w14:paraId="78C0B1F6" w14:textId="012D2AAD" w:rsidR="006B65C5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（一）</w:t>
      </w:r>
      <w:r w:rsidR="002164B4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环境</w:t>
      </w:r>
      <w:r w:rsidR="002164B4"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  <w:t>条件</w:t>
      </w:r>
    </w:p>
    <w:p w14:paraId="7DD0D02E" w14:textId="563683DE" w:rsidR="00C43129" w:rsidRPr="002E6F0F" w:rsidRDefault="00530923" w:rsidP="002E6F0F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E6F0F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2E6F0F">
        <w:rPr>
          <w:rFonts w:ascii="仿宋_GB2312" w:eastAsia="仿宋_GB2312"/>
          <w:color w:val="000000" w:themeColor="text1"/>
          <w:sz w:val="32"/>
          <w:szCs w:val="32"/>
        </w:rPr>
        <w:t>.</w:t>
      </w:r>
      <w:r w:rsidRPr="002E6F0F">
        <w:rPr>
          <w:rFonts w:ascii="仿宋_GB2312" w:eastAsia="仿宋_GB2312" w:hint="eastAsia"/>
          <w:color w:val="000000" w:themeColor="text1"/>
          <w:sz w:val="32"/>
          <w:szCs w:val="32"/>
        </w:rPr>
        <w:t>陆基圆池</w:t>
      </w:r>
    </w:p>
    <w:p w14:paraId="4810A464" w14:textId="793AFE8E" w:rsidR="00C43129" w:rsidRPr="00530923" w:rsidRDefault="00530923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陆基圆池</w:t>
      </w:r>
      <w:r w:rsidR="00C43129" w:rsidRPr="00530923">
        <w:rPr>
          <w:rFonts w:ascii="仿宋_GB2312" w:eastAsia="仿宋_GB2312" w:hint="eastAsia"/>
          <w:color w:val="000000" w:themeColor="text1"/>
          <w:sz w:val="32"/>
          <w:szCs w:val="32"/>
        </w:rPr>
        <w:t>直径6m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="00C43129" w:rsidRPr="00530923">
        <w:rPr>
          <w:rFonts w:ascii="仿宋_GB2312" w:eastAsia="仿宋_GB2312" w:hint="eastAsia"/>
          <w:color w:val="000000" w:themeColor="text1"/>
          <w:sz w:val="32"/>
          <w:szCs w:val="32"/>
        </w:rPr>
        <w:t>12m：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鱼池</w:t>
      </w:r>
      <w:r w:rsidR="00C43129" w:rsidRPr="00530923">
        <w:rPr>
          <w:rFonts w:ascii="仿宋_GB2312" w:eastAsia="仿宋_GB2312" w:hint="eastAsia"/>
          <w:color w:val="000000" w:themeColor="text1"/>
          <w:sz w:val="32"/>
          <w:szCs w:val="32"/>
        </w:rPr>
        <w:t>过小则养殖容量低，不符合集约化需求；过大则水体循环难度增加，易出现局部水质不均（如溶解氧分布差异），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6m～12m</w:t>
      </w:r>
      <w:r w:rsidR="00C43129" w:rsidRPr="00530923">
        <w:rPr>
          <w:rFonts w:ascii="仿宋_GB2312" w:eastAsia="仿宋_GB2312" w:hint="eastAsia"/>
          <w:color w:val="000000" w:themeColor="text1"/>
          <w:sz w:val="32"/>
          <w:szCs w:val="32"/>
        </w:rPr>
        <w:t>是兼顾“养殖效率”与“水质可控”的最优区间。</w:t>
      </w:r>
    </w:p>
    <w:p w14:paraId="417F69DE" w14:textId="4AC2FF0E" w:rsidR="00C43129" w:rsidRPr="00530923" w:rsidRDefault="00C43129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侧深1.45m</w:t>
      </w:r>
      <w:r w:rsidR="00530923" w:rsidRPr="00530923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1.8m：深度过浅则水体体积小，水温易受外界环境影响（如夏季暴晒导致水温过高，冬季降温过快），影响鱼体生长；过深则底层水体溶解氧易不足，需增加增氧成本，1.</w:t>
      </w:r>
      <w:r w:rsidR="00530923" w:rsidRPr="00530923">
        <w:rPr>
          <w:rFonts w:ascii="仿宋_GB2312" w:eastAsia="仿宋_GB2312" w:hint="eastAsia"/>
          <w:color w:val="000000" w:themeColor="text1"/>
          <w:sz w:val="32"/>
          <w:szCs w:val="32"/>
        </w:rPr>
        <w:t>45m～1.8m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适配横县亚热带季风气候（年均温21℃左右），可维持水体温度稳定及充足溶氧。</w:t>
      </w:r>
    </w:p>
    <w:p w14:paraId="500D45CF" w14:textId="5DEBC0C1" w:rsidR="00C43129" w:rsidRPr="00530923" w:rsidRDefault="00C43129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池底坡度10%</w:t>
      </w:r>
      <w:r w:rsidR="00530923" w:rsidRPr="00530923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15%：坡度不足则沉淀物（残饵、粪便）难以汇聚，易沉积池底腐败污染水体；坡度过大则池底空间利用率低，10%</w:t>
      </w:r>
      <w:r w:rsidR="00530923" w:rsidRPr="00530923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15% 可确保沉淀物快速流向锥底排放口，同时不浪费养殖空间。</w:t>
      </w:r>
    </w:p>
    <w:p w14:paraId="7A38A1EF" w14:textId="4A9AF92C" w:rsidR="00E67F78" w:rsidRPr="00530923" w:rsidRDefault="00C43129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半埋式安装（地面部分0.8m</w:t>
      </w:r>
      <w:r w:rsidR="00530923" w:rsidRPr="00530923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1.0m）：地下部分可利用土壤保温，减少水温波动；地面部分便于日常操作（如投饲、观察鱼体状态），同时降低圆池整体重心，增强结构稳定性，避免台风、暴雨等极端天气导致池体倾倒。</w:t>
      </w:r>
    </w:p>
    <w:p w14:paraId="01FE2752" w14:textId="6EBEBE91" w:rsidR="00530923" w:rsidRDefault="00530923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底部连接尾水排放管道并接入尾水处理系统，是实现“养殖尾水先处理、后排放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/循环</w:t>
      </w:r>
      <w:r w:rsidRPr="00530923">
        <w:rPr>
          <w:rFonts w:ascii="仿宋_GB2312" w:eastAsia="仿宋_GB2312" w:hint="eastAsia"/>
          <w:color w:val="000000" w:themeColor="text1"/>
          <w:sz w:val="32"/>
          <w:szCs w:val="32"/>
        </w:rPr>
        <w:t>的关键设计，可避免沉淀物直接排放造成污染，同时便于尾水经处理后回用于养殖（如过滤、消毒后重新进入圆池），符合节水要求。</w:t>
      </w:r>
    </w:p>
    <w:p w14:paraId="7A25F6F6" w14:textId="3DD8FCDF" w:rsidR="007D0D78" w:rsidRDefault="007D0D78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2.</w:t>
      </w:r>
      <w:r w:rsidR="000804C8">
        <w:rPr>
          <w:rFonts w:ascii="仿宋_GB2312" w:eastAsia="仿宋_GB2312" w:hint="eastAsia"/>
          <w:color w:val="000000" w:themeColor="text1"/>
          <w:sz w:val="32"/>
          <w:szCs w:val="32"/>
        </w:rPr>
        <w:t>池塘</w:t>
      </w:r>
    </w:p>
    <w:p w14:paraId="4869C90F" w14:textId="14087FB4" w:rsidR="00BE4E7C" w:rsidRDefault="00BE4E7C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形状</w:t>
      </w:r>
      <w:r>
        <w:rPr>
          <w:rFonts w:ascii="仿宋_GB2312" w:eastAsia="仿宋_GB2312"/>
          <w:color w:val="000000" w:themeColor="text1"/>
          <w:sz w:val="32"/>
          <w:szCs w:val="32"/>
        </w:rPr>
        <w:t>与朝向：</w:t>
      </w:r>
      <w:r w:rsidRPr="00BE4E7C">
        <w:rPr>
          <w:rFonts w:ascii="仿宋_GB2312" w:eastAsia="仿宋_GB2312" w:hint="eastAsia"/>
          <w:color w:val="000000" w:themeColor="text1"/>
          <w:sz w:val="32"/>
          <w:szCs w:val="32"/>
        </w:rPr>
        <w:t>长方形便于机械操作（如拉网捕鱼、投饲机布置），同时水流更顺畅，避免死角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  <w:r w:rsidRPr="00BE4E7C">
        <w:rPr>
          <w:rFonts w:ascii="仿宋_GB2312" w:eastAsia="仿宋_GB2312" w:hint="eastAsia"/>
          <w:color w:val="000000" w:themeColor="text1"/>
          <w:sz w:val="32"/>
          <w:szCs w:val="32"/>
        </w:rPr>
        <w:t>东西向可使池塘受光照时间更均匀（避免南北向导致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的南北岸光照差异过大），减少水温分层（水温分层易导致底层缺氧）</w:t>
      </w:r>
      <w:r w:rsidRPr="00BE4E7C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2517E568" w14:textId="293D1F68" w:rsidR="00966FB4" w:rsidRDefault="00966FB4" w:rsidP="0053092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尺寸</w:t>
      </w:r>
      <w:r>
        <w:rPr>
          <w:rFonts w:ascii="仿宋_GB2312" w:eastAsia="仿宋_GB2312"/>
          <w:color w:val="000000" w:themeColor="text1"/>
          <w:sz w:val="32"/>
          <w:szCs w:val="32"/>
        </w:rPr>
        <w:t>与深度：</w:t>
      </w:r>
    </w:p>
    <w:p w14:paraId="7416DA5F" w14:textId="2691E4A1" w:rsidR="00966FB4" w:rsidRPr="00966FB4" w:rsidRDefault="00966FB4" w:rsidP="00966FB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面积0.33</w:t>
      </w:r>
      <w:r w:rsidRPr="00966FB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hm²</w:t>
      </w:r>
      <w:r w:rsidRPr="00966FB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～</w:t>
      </w:r>
      <w:r w:rsidRPr="00966FB4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1.00hm²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：过小则水体自净能力弱（易受外界环境影响，如降雨导致</w:t>
      </w:r>
      <w:r w:rsidR="00AA19C4">
        <w:rPr>
          <w:rFonts w:ascii="仿宋_GB2312" w:eastAsia="仿宋_GB2312" w:hint="eastAsia"/>
          <w:color w:val="000000" w:themeColor="text1"/>
          <w:sz w:val="32"/>
          <w:szCs w:val="32"/>
        </w:rPr>
        <w:t>pH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值骤变），过大则管理难度高（如局部鱼病难以快速防控），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亩～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15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亩是传统淡水养殖中“自净能力”与“管理效率”的平衡区间。</w:t>
      </w:r>
    </w:p>
    <w:p w14:paraId="2BC46D5E" w14:textId="01E62332" w:rsidR="00966FB4" w:rsidRPr="00966FB4" w:rsidRDefault="00966FB4" w:rsidP="00966FB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池深2.0m～2.5m、有效蓄水深度≥1.5m：足够的水深可确保水体容量，维持水温稳定（夏季避免水温过高，冬季形成保温层），同时为鱼体提供充足活动空间，减少密度应激；有效蓄水深度≥</w:t>
      </w:r>
      <w:r w:rsidR="00AA19C4">
        <w:rPr>
          <w:rFonts w:ascii="仿宋_GB2312" w:eastAsia="仿宋_GB2312" w:hint="eastAsia"/>
          <w:color w:val="000000" w:themeColor="text1"/>
          <w:sz w:val="32"/>
          <w:szCs w:val="32"/>
        </w:rPr>
        <w:t>1.5m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可避免因干旱、蒸发导致水深不足，影响养殖。</w:t>
      </w:r>
    </w:p>
    <w:p w14:paraId="28EA90E7" w14:textId="28D42154" w:rsidR="00966FB4" w:rsidRPr="00530923" w:rsidRDefault="00966FB4" w:rsidP="00966FB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池底淤泥厚度15cm</w:t>
      </w:r>
      <w:r w:rsidR="00D21E5D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20cm：淤泥是池塘生态系统的重要组成部分，可提供微生物附着载体，参与有机物分解、氮磷循环，维持水质稳定；过厚则易滋生有害菌、释放氨氮等有害物质，过薄则微生物不足，水体自净能力弱，15cm</w:t>
      </w:r>
      <w:r w:rsidR="00D21E5D" w:rsidRPr="00D21E5D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966FB4">
        <w:rPr>
          <w:rFonts w:ascii="仿宋_GB2312" w:eastAsia="仿宋_GB2312" w:hint="eastAsia"/>
          <w:color w:val="000000" w:themeColor="text1"/>
          <w:sz w:val="32"/>
          <w:szCs w:val="32"/>
        </w:rPr>
        <w:t>20cm 是淡水池塘养殖的最优淤泥厚度区间。</w:t>
      </w:r>
    </w:p>
    <w:p w14:paraId="7A3805A5" w14:textId="103E9AD9" w:rsidR="004123A3" w:rsidRDefault="004123A3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（二）</w:t>
      </w:r>
      <w:r w:rsidR="00CC3F4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鱼种</w:t>
      </w:r>
    </w:p>
    <w:p w14:paraId="0887A926" w14:textId="195F935E" w:rsidR="004123A3" w:rsidRDefault="00B7013E" w:rsidP="00B7013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t>横县鱼生对鱼的肉质、口感要求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较</w:t>
      </w: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t>高（如赤眼鳟需肉质细嫩、无土腥味，青竹鱼需肌间刺少），国家级、省级良种场及持许可</w:t>
      </w: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资质的繁育场，其苗种经过长期选育，遗传性状稳定，能确保成鱼符合鱼生食用特性，避免因苗种混杂导致肉质参差不齐。非规范苗种场可能存在疫病交叉感染风险（如携带肝吸虫囊蚴、细菌性烂鳃病原体），限定来源可从源头减少疫病传入养殖环节的概率，降低后续养殖过程中药物使用频率，符合食品安全“预防为主”原则。</w:t>
      </w:r>
    </w:p>
    <w:p w14:paraId="02A52BC2" w14:textId="740E5054" w:rsidR="00B7013E" w:rsidRDefault="00B7013E" w:rsidP="00B7013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t>月为华南地区水温20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t>30℃的适宜生长期，该温度区间内鱼的摄食率高（如草鱼日投饲率可达3%）、生长速度快，能缩短养殖周期（如罗非鱼从苗种到成鱼需6</w:t>
      </w:r>
      <w:r w:rsidR="00E969E0" w:rsidRPr="00E969E0">
        <w:rPr>
          <w:rFonts w:ascii="仿宋_GB2312" w:eastAsia="仿宋_GB2312" w:hint="eastAsia"/>
          <w:color w:val="000000" w:themeColor="text1"/>
          <w:sz w:val="32"/>
          <w:szCs w:val="32"/>
        </w:rPr>
        <w:t>～</w:t>
      </w:r>
      <w:r w:rsidR="00E969E0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Pr="00B7013E">
        <w:rPr>
          <w:rFonts w:ascii="仿宋_GB2312" w:eastAsia="仿宋_GB2312" w:hint="eastAsia"/>
          <w:color w:val="000000" w:themeColor="text1"/>
          <w:sz w:val="32"/>
          <w:szCs w:val="32"/>
        </w:rPr>
        <w:t>个月，若在低温期放养则需延长至 10 个月以上），同时避免低温导致的苗种死亡率升高（水温低于 15℃时赤眼鳟苗种存活率下降至 70% 以下）。</w:t>
      </w:r>
    </w:p>
    <w:p w14:paraId="1ECF1F32" w14:textId="427CDCB6" w:rsidR="00E969E0" w:rsidRPr="00E969E0" w:rsidRDefault="00E969E0" w:rsidP="00E969E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陆基圆池作为集约化养殖模式，水体交换效率高（如直径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10m 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圆池每小时水循环量达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50m³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），可承受较高密度（如赤眼鳟苗种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450-600 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尾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/m³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），但需通过分池（如规格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≥10g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时降至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75-100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尾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/m³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）避免后期水体溶氧不足（鱼类生长需溶解氧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≥5mg/L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，密度过高会导致溶氧降至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3mg/L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以下，引发浮头）。</w:t>
      </w:r>
    </w:p>
    <w:p w14:paraId="642C975B" w14:textId="20A7A0FB" w:rsidR="00E969E0" w:rsidRPr="00B7013E" w:rsidRDefault="00E969E0" w:rsidP="00E969E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池塘是开放式养殖环境，水体自净能力有限（如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0.33hm²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池塘日自净能力约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50kg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有机质），需降低初始密度（如赤眼鳟苗种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7-1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万尾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/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667m²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），转塘时进一步调整（如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100-150g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时降至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5000-7500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尾</w:t>
      </w:r>
      <w:r w:rsidR="005639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/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667m²</w:t>
      </w:r>
      <w:r w:rsidRPr="00E969E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），防止残饵、粪便积累导致氨</w:t>
      </w:r>
      <w:r w:rsidRPr="00E969E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氮超标（非离子氨≤</w:t>
      </w:r>
      <w:r w:rsidRPr="00E969E0">
        <w:rPr>
          <w:rFonts w:ascii="仿宋_GB2312" w:eastAsia="仿宋_GB2312" w:hint="eastAsia"/>
          <w:color w:val="000000" w:themeColor="text1"/>
          <w:sz w:val="32"/>
          <w:szCs w:val="32"/>
        </w:rPr>
        <w:t>0.2mg/L）。</w:t>
      </w:r>
    </w:p>
    <w:p w14:paraId="1D64DA22" w14:textId="126E897E" w:rsidR="004123A3" w:rsidRDefault="004123A3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（三）</w:t>
      </w:r>
      <w:r w:rsidR="00E969E0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放养前准备</w:t>
      </w:r>
    </w:p>
    <w:p w14:paraId="0809F93C" w14:textId="77777777" w:rsidR="00885100" w:rsidRPr="00885100" w:rsidRDefault="00885100" w:rsidP="0088510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清整消毒的生态逻辑：生石灰（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75-150kg/667m</w:t>
      </w:r>
      <w:r w:rsidRPr="008851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²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）不仅能杀灭病原（如车轮虫、指环虫），还能调节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pH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值（从酸性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6.0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提升至中性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7.5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）、增加水体钙含量（促进鱼骨骼生长）；漂白粉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（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6.0-8.0kg/667m</w:t>
      </w:r>
      <w:r w:rsidRPr="008851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²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）针对细菌性病原（如肠炎病病原菌）效果更优，可根据池塘底质类型选择（酸性底质用生石灰，中性底质用漂白粉）。</w:t>
      </w:r>
    </w:p>
    <w:p w14:paraId="01AB3869" w14:textId="77777777" w:rsidR="00885100" w:rsidRPr="00885100" w:rsidRDefault="00885100" w:rsidP="0088510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注水过滤与深度控制：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0.25mm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密网（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60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目）可过滤剑水蚤、螺类等敌害生物；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1.0-1.5m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注水深度既能保证水体容量（减少水温波动），又能为后续培肥水质预留空间（浅水易导致藻类过度繁殖，引发水华）。</w:t>
      </w:r>
    </w:p>
    <w:p w14:paraId="209FBDCF" w14:textId="77777777" w:rsidR="00885100" w:rsidRPr="00885100" w:rsidRDefault="00885100" w:rsidP="0088510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基肥施用的科学配比：发酵有机肥（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1500-2250kg/hm</w:t>
      </w:r>
      <w:r w:rsidRPr="008851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²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）或生物肥（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75-150kg/hm</w:t>
      </w:r>
      <w:r w:rsidRPr="008851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²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）可培育浮游生物（如轮虫、枝角类），为苗种提供天然饵料（减少人工饲料投喂量，降低成本）；水色呈浅绿色、透明度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25-40cm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是浮游生物量适宜的标志（透明度过高则饵料不足，过低则水体富营养化）。</w:t>
      </w:r>
    </w:p>
    <w:p w14:paraId="359D542E" w14:textId="3876F738" w:rsidR="001B3057" w:rsidRDefault="00885100" w:rsidP="0088510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增氧机械的配置依据：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0.33hm</w:t>
      </w:r>
      <w:r w:rsidRPr="008851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²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配置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台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1.5kW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增氧机，可确保水体溶氧均匀（增氧机影响范围约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10-15m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），避免池塘角落缺氧（如夏季高温时，池塘底层溶氧易降至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2mg/L </w:t>
      </w:r>
      <w:r w:rsidRPr="0088510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以下，引发鱼浮头）。</w:t>
      </w:r>
    </w:p>
    <w:p w14:paraId="46F6EB9F" w14:textId="78E393A4" w:rsidR="00885100" w:rsidRDefault="00232C78" w:rsidP="0088510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体表病原清除：鱼种在运输、操作过程中可能携带体表寄生虫（如锚头鳋、车轮虫）和细菌（如烂鳃病病原菌），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3% 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食盐水浸浴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5-10 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分钟，可通过渗透压变化杀灭大部分体表病原（如食盐浓度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3% 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时，车轮虫死亡率达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95% </w:t>
      </w:r>
      <w:r w:rsidRPr="00232C7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以上）；配套增氧可防止浸浴过程中因缺氧导致鱼种应激死亡（食盐水会降低水体溶氧溶解度）。</w:t>
      </w:r>
    </w:p>
    <w:p w14:paraId="4DA3F503" w14:textId="7716D91D" w:rsidR="00232C78" w:rsidRPr="00232C78" w:rsidRDefault="00232C78" w:rsidP="00232C7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（四）</w:t>
      </w:r>
      <w:r w:rsidRPr="00232C78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饲养管理</w:t>
      </w:r>
    </w:p>
    <w:p w14:paraId="12805691" w14:textId="4324CC7D" w:rsidR="000F604A" w:rsidRDefault="000F604A" w:rsidP="000F604A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投喂饲料</w:t>
      </w:r>
    </w:p>
    <w:p w14:paraId="3853F269" w14:textId="62492353" w:rsidR="000F604A" w:rsidRPr="000F604A" w:rsidRDefault="000F604A" w:rsidP="000F604A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饲料粒径的生长适配性：鱼体不同生长阶段口裂大小不同（如赤眼鳟苗种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3cm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时口裂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0.2cm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，成鱼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400g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时口裂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1.5cm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），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饲料粒径需同步调整（苗种用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0.5mm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粒径，成鱼用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3mm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粒径），避免因粒径不当导致摄食困难（残饵率升高至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15%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以上）或消化吸收不良（饵料系数从</w:t>
      </w:r>
      <w:r w:rsidR="003530C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1.8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升至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2.5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）。</w:t>
      </w:r>
    </w:p>
    <w:p w14:paraId="0DA5605C" w14:textId="491392FC" w:rsidR="00232C78" w:rsidRDefault="000F604A" w:rsidP="000F604A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投饲率与频次的科学计算：日投饲率</w:t>
      </w:r>
      <w:r w:rsidR="003530C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1%-3%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是基于“鱼体体重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×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摄食率</w:t>
      </w:r>
      <w:r w:rsidR="003530C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=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日投喂量”的公式，苗期（如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3-10cm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）生长快，需较高投饲率（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5%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）满足营养需求，成鱼（如≥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400g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）生长减缓，投饲率降至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1%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，避免过度投喂导致残饵积累（引发氨氮超标）；日投饲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2-3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次（如早晚各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次，夏季中午加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次）可匹配鱼类摄食节律（如草鱼在水温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25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℃时摄食高峰为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8:00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18:00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），提高饲料利用率。</w:t>
      </w:r>
    </w:p>
    <w:p w14:paraId="24028A16" w14:textId="5419C1BA" w:rsidR="000F604A" w:rsidRDefault="000F604A" w:rsidP="000F604A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水质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调控</w:t>
      </w:r>
    </w:p>
    <w:p w14:paraId="36E7D9A1" w14:textId="417797AC" w:rsidR="000F604A" w:rsidRPr="000F604A" w:rsidRDefault="000F604A" w:rsidP="000F604A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陆基圆池的集约化适配：陆基圆池水体交换效率高，按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DB45/T 2955.2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《陆基圆池养殖技术规范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第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部分：水质调控技术要求》操作，可确保水质稳定（如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pH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值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6.5-8.5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、溶解氧≥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5mg/L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）；每次加水、换水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20-30cm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，换水率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25%-30%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，既能补充新水、降低污染物浓度（如氨氮、亚硝酸盐），又避免换水过多导致水温、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pH 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值骤变（应激反应死亡率升高）。</w:t>
      </w:r>
    </w:p>
    <w:p w14:paraId="0603170F" w14:textId="15708B57" w:rsidR="000F604A" w:rsidRDefault="000F604A" w:rsidP="000F604A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池塘的生态化适配：池塘自净能力有限，需通过定期加水、换水维持水质，避免藻类过度繁殖（如蓝藻水华导致溶解氧骤降）；与陆基圆池相比，池塘换水频率更低（每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10-15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天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</w:t>
      </w:r>
      <w:r w:rsidRPr="000F604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次），更依赖生态自净（如浮游植物光合作用产氧）。</w:t>
      </w:r>
    </w:p>
    <w:p w14:paraId="199E50B0" w14:textId="71622BA9" w:rsidR="00596891" w:rsidRPr="00596891" w:rsidRDefault="00596891" w:rsidP="00596891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（五）</w:t>
      </w:r>
      <w:r w:rsidRPr="00596891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鱼病</w:t>
      </w:r>
      <w:r w:rsidRPr="00596891"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  <w:t>及肝吸虫防治</w:t>
      </w:r>
    </w:p>
    <w:p w14:paraId="19F3DAEA" w14:textId="4907CA81" w:rsidR="00596891" w:rsidRPr="00596891" w:rsidRDefault="00596891" w:rsidP="00596891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肝吸虫（华支睾吸虫）的生命周期需经过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“虫卵→淡水螺（第一中间宿主）→淡水鱼（第二中间宿主）→人类”，横县作为肝吸虫流行区域，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2021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年监测数据显示，未经防控的池塘中肝吸虫囊蚴检出率达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12%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，因此条款围绕“切断传播链”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设计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7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项措施，形成闭环管理</w:t>
      </w:r>
      <w:r w:rsidR="004F04E5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14:paraId="3B221069" w14:textId="2BA05D2E" w:rsidR="00596891" w:rsidRPr="00596891" w:rsidRDefault="00596891" w:rsidP="00596891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水源管控：禁止使用受污染的河流、池塘水，因这类水体可能携带肝吸虫虫卵（如受污染水体中虫卵含量可达</w:t>
      </w:r>
      <w:r w:rsidR="004F04E5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5-10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个</w:t>
      </w:r>
      <w:r w:rsidR="004F04E5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/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L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），需定期检测水源，确保进水符合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GB 11607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《渔业水质标准》。</w:t>
      </w:r>
    </w:p>
    <w:p w14:paraId="24DC57F9" w14:textId="5686D977" w:rsidR="00596891" w:rsidRPr="00596891" w:rsidRDefault="00596891" w:rsidP="00596891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中间宿主控制：淡水螺是肝吸虫繁殖的关键载体，条款提出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“生石灰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/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含氯消毒剂消毒”（生石灰可杀灭螺卵，含氯消毒剂如二氧化氯对螺类幼虫杀灭率达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90%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以上）、“人工捕捞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+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杀螺剂”（如四聚乙醛类杀螺剂）、“清除池塘淤泥”（螺类多栖息于淤泥中，淤泥厚度控制在</w:t>
      </w:r>
      <w:r w:rsidR="004F04E5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15-20cm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可减少螺类栖息地）三重措施，从源头减少螺类数量。</w:t>
      </w:r>
    </w:p>
    <w:p w14:paraId="3427BE67" w14:textId="74B2131E" w:rsidR="00596891" w:rsidRPr="00596891" w:rsidRDefault="00596891" w:rsidP="00596891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污染源头治理：未经处理的粪便（如禽畜粪便）可能携带肝吸虫虫卵，若作为肥料使用会污染水体；养殖工具交叉使用（如未消毒的网具）可能导致不同池塘间病原传播，因此需规范粪便处理（如发酵后使用）和工具消毒（如用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5%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漂白粉溶液浸泡网具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30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分钟）。</w:t>
      </w:r>
    </w:p>
    <w:p w14:paraId="73C0522D" w14:textId="3DFEBA03" w:rsidR="00596891" w:rsidRPr="00596891" w:rsidRDefault="00596891" w:rsidP="00596891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终端检测与应急处置：定期抽检鱼体内囊蚴（如每季度抽样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10-20 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尾鱼，采用压片镜检法检测），可及时发现感染情况；必要时在兽医指导下使用抗寄生虫药物（如吡喹酮），但需严格控制剂量（如吡喹酮在鱼体内推荐剂量为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20-30mg/kg</w:t>
      </w:r>
      <w:r w:rsidRPr="00596891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），避免药物残留。</w:t>
      </w:r>
    </w:p>
    <w:p w14:paraId="6C5FDB77" w14:textId="77777777" w:rsidR="006B65C5" w:rsidRPr="00A82992" w:rsidRDefault="005F5D38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A82992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六、重大意见分歧的处理依据和结果</w:t>
      </w:r>
    </w:p>
    <w:p w14:paraId="347360FD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本标准研制过程中无重大分歧意见。</w:t>
      </w:r>
    </w:p>
    <w:p w14:paraId="495C8E05" w14:textId="77777777" w:rsidR="006B65C5" w:rsidRPr="00A82992" w:rsidRDefault="005F5D38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A82992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七、实施标准的措施</w:t>
      </w:r>
    </w:p>
    <w:p w14:paraId="7EC133EC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（一）标准报批发布后，成立标准宣贯工作组</w:t>
      </w:r>
    </w:p>
    <w:p w14:paraId="54F1EA55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本标准发布后，成立以主要起草人为成员的标准宣贯工作组，主要负责标准的宣贯实施培训计划制定、标准实施交流会策划、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标准实施信息反馈收集和标准实施效果评估等工作，并根据标准实施信息反馈和标准实施效果评估情况，及时组织标准复审修订。</w:t>
      </w:r>
    </w:p>
    <w:p w14:paraId="5FB7939F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（二）组织开展标准宣贯培训</w:t>
      </w:r>
    </w:p>
    <w:p w14:paraId="20A72550" w14:textId="52502BB5" w:rsidR="006B65C5" w:rsidRPr="00A82992" w:rsidRDefault="005F5D38">
      <w:pPr>
        <w:spacing w:line="5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标准发布实施后，标准宣贯工作小组制作标准解读宣贯培训PPT课件和标准核心技术明白书，并按标准宣贯培训计划深入各市县相关机构，对相关技术人员开展标准宣贯培训，对标准进行逐条解读，让相关技术人员掌握标准核心技术内容，助力标准实施落地，促进</w:t>
      </w:r>
      <w:r w:rsidR="000361D9">
        <w:rPr>
          <w:rFonts w:ascii="仿宋_GB2312" w:eastAsia="仿宋_GB2312" w:hint="eastAsia"/>
          <w:color w:val="000000" w:themeColor="text1"/>
          <w:sz w:val="32"/>
          <w:szCs w:val="32"/>
        </w:rPr>
        <w:t>横县鱼生产业</w:t>
      </w:r>
      <w:r w:rsidR="00151F7B">
        <w:rPr>
          <w:rFonts w:ascii="仿宋_GB2312" w:eastAsia="仿宋_GB2312" w:hint="eastAsia"/>
          <w:color w:val="000000" w:themeColor="text1"/>
          <w:sz w:val="32"/>
          <w:szCs w:val="32"/>
        </w:rPr>
        <w:t>高质量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发展。</w:t>
      </w:r>
    </w:p>
    <w:p w14:paraId="474F2CC7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（三）开展标准实施交流会，收集标准实施反馈信息</w:t>
      </w:r>
    </w:p>
    <w:p w14:paraId="4375A968" w14:textId="09682098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标准起草小组深入各市县相关</w:t>
      </w:r>
      <w:r w:rsidR="000361D9">
        <w:rPr>
          <w:rFonts w:ascii="仿宋_GB2312" w:eastAsia="仿宋_GB2312" w:hint="eastAsia"/>
          <w:color w:val="000000" w:themeColor="text1"/>
          <w:sz w:val="32"/>
          <w:szCs w:val="32"/>
        </w:rPr>
        <w:t>鱼生</w:t>
      </w:r>
      <w:r w:rsidR="000361D9">
        <w:rPr>
          <w:rFonts w:ascii="仿宋_GB2312" w:eastAsia="仿宋_GB2312"/>
          <w:color w:val="000000" w:themeColor="text1"/>
          <w:sz w:val="32"/>
          <w:szCs w:val="32"/>
        </w:rPr>
        <w:t>专用鱼养殖基地</w:t>
      </w:r>
      <w:r w:rsidR="000361D9">
        <w:rPr>
          <w:rFonts w:ascii="仿宋_GB2312" w:eastAsia="仿宋_GB2312" w:hint="eastAsia"/>
          <w:color w:val="000000" w:themeColor="text1"/>
          <w:sz w:val="32"/>
          <w:szCs w:val="32"/>
        </w:rPr>
        <w:t>、鱼生餐饮店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技术人员召开标准实施交流会，听取标准实施过程中存在的问题并做好记录和解答，对存在的问题组织专家团队进行研讨，为标准的复审修订做准备。</w:t>
      </w:r>
    </w:p>
    <w:p w14:paraId="13F0CFD4" w14:textId="77777777" w:rsidR="006B65C5" w:rsidRPr="00A82992" w:rsidRDefault="005F5D38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A82992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（四）开展标准实施效果评估</w:t>
      </w:r>
    </w:p>
    <w:p w14:paraId="1861B1B7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标准实施满2年，每年标准宣贯工作组采取网络调查、问卷调查、实地调研、召开座谈会或论证会、专家咨询等方式开展标准实施效果评估，并形成标准实施效果评估报告，为标准的复审修订做准备。</w:t>
      </w:r>
    </w:p>
    <w:p w14:paraId="76EB67B5" w14:textId="77777777" w:rsidR="006B65C5" w:rsidRPr="00A82992" w:rsidRDefault="005F5D38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A82992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八、其他应当说明的事项</w:t>
      </w:r>
    </w:p>
    <w:p w14:paraId="3FF68DBB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无。</w:t>
      </w:r>
    </w:p>
    <w:p w14:paraId="70A805E3" w14:textId="77777777" w:rsidR="006B65C5" w:rsidRPr="00A82992" w:rsidRDefault="006B65C5">
      <w:pPr>
        <w:pStyle w:val="-1"/>
        <w:rPr>
          <w:rFonts w:ascii="仿宋_GB2312" w:eastAsia="仿宋_GB2312" w:cs="Calibri"/>
          <w:color w:val="000000" w:themeColor="text1"/>
          <w:sz w:val="32"/>
          <w:szCs w:val="32"/>
        </w:rPr>
      </w:pPr>
    </w:p>
    <w:p w14:paraId="78F6D630" w14:textId="77777777" w:rsidR="006B65C5" w:rsidRPr="00A82992" w:rsidRDefault="006B65C5">
      <w:pPr>
        <w:pStyle w:val="-1"/>
        <w:rPr>
          <w:rFonts w:ascii="仿宋_GB2312" w:eastAsia="仿宋_GB2312"/>
          <w:color w:val="000000" w:themeColor="text1"/>
          <w:sz w:val="28"/>
          <w:szCs w:val="28"/>
        </w:rPr>
      </w:pPr>
    </w:p>
    <w:p w14:paraId="3083F20A" w14:textId="77777777" w:rsidR="006B65C5" w:rsidRPr="00A82992" w:rsidRDefault="006B65C5">
      <w:pPr>
        <w:pStyle w:val="-1"/>
        <w:rPr>
          <w:rFonts w:ascii="仿宋_GB2312" w:eastAsia="仿宋_GB2312"/>
          <w:color w:val="000000" w:themeColor="text1"/>
          <w:sz w:val="28"/>
          <w:szCs w:val="28"/>
        </w:rPr>
      </w:pPr>
    </w:p>
    <w:p w14:paraId="7F536FA9" w14:textId="77777777" w:rsidR="000361D9" w:rsidRDefault="005F5D38">
      <w:pPr>
        <w:spacing w:line="520" w:lineRule="exact"/>
        <w:ind w:firstLineChars="200" w:firstLine="640"/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 xml:space="preserve">横县鱼生全链条管理规范  </w:t>
      </w:r>
    </w:p>
    <w:p w14:paraId="50E93430" w14:textId="3D032E57" w:rsidR="006B65C5" w:rsidRPr="00A82992" w:rsidRDefault="00786429">
      <w:pPr>
        <w:spacing w:line="520" w:lineRule="exact"/>
        <w:ind w:firstLineChars="200" w:firstLine="640"/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第1部分</w:t>
      </w:r>
      <w:r w:rsidR="005A39C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养殖</w:t>
      </w:r>
      <w:r w:rsidR="005F5D38" w:rsidRPr="00A82992">
        <w:rPr>
          <w:rFonts w:ascii="仿宋_GB2312" w:eastAsia="仿宋_GB2312" w:hint="eastAsia"/>
          <w:color w:val="000000" w:themeColor="text1"/>
          <w:sz w:val="32"/>
          <w:szCs w:val="32"/>
        </w:rPr>
        <w:t>》</w:t>
      </w:r>
    </w:p>
    <w:p w14:paraId="1D83E504" w14:textId="77777777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标准编制工作组</w:t>
      </w:r>
    </w:p>
    <w:p w14:paraId="67F57A2E" w14:textId="28F3E635" w:rsidR="006B65C5" w:rsidRPr="00A82992" w:rsidRDefault="005F5D38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82992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A82992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0361D9">
        <w:rPr>
          <w:rFonts w:ascii="仿宋_GB2312" w:eastAsia="仿宋_GB2312"/>
          <w:color w:val="000000" w:themeColor="text1"/>
          <w:sz w:val="32"/>
          <w:szCs w:val="32"/>
        </w:rPr>
        <w:t>8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366277">
        <w:rPr>
          <w:rFonts w:ascii="仿宋_GB2312" w:eastAsia="仿宋_GB2312"/>
          <w:color w:val="000000" w:themeColor="text1"/>
          <w:sz w:val="32"/>
          <w:szCs w:val="32"/>
        </w:rPr>
        <w:t>30</w:t>
      </w:r>
      <w:r w:rsidRPr="00A82992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sectPr w:rsidR="006B65C5" w:rsidRPr="00A82992">
      <w:footerReference w:type="default" r:id="rId12"/>
      <w:pgSz w:w="11906" w:h="16838"/>
      <w:pgMar w:top="1474" w:right="1474" w:bottom="1474" w:left="147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6C98C" w14:textId="77777777" w:rsidR="00D34744" w:rsidRDefault="00D34744">
      <w:r>
        <w:separator/>
      </w:r>
    </w:p>
  </w:endnote>
  <w:endnote w:type="continuationSeparator" w:id="0">
    <w:p w14:paraId="2774354E" w14:textId="77777777" w:rsidR="00D34744" w:rsidRDefault="00D3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603F958-C3D5-4FC1-B0A6-118C17289716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2" w:subsetted="1" w:fontKey="{708DE723-FBFC-4AF0-8A6F-BF1821851AFA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2014DB0-C2B4-4F17-A471-1B7719EAC3E3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04568534-1F73-4C33-9596-ADBA6E707228}"/>
    <w:embedBold r:id="rId5" w:subsetted="1" w:fontKey="{B6BDB2B6-EEBD-4B05-95CF-63B4F63D0D3D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C3F48A3D-3A52-4FE3-9122-448D48E3130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73D37" w14:textId="77777777" w:rsidR="006B65C5" w:rsidRDefault="005F5D38">
    <w:pPr>
      <w:pStyle w:val="af8"/>
      <w:ind w:firstLine="37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DB59F" wp14:editId="5E8D473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6515" cy="131445"/>
              <wp:effectExtent l="0" t="0" r="0" b="0"/>
              <wp:wrapNone/>
              <wp:docPr id="4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F0DFA4" w14:textId="6C6FF43E" w:rsidR="006B65C5" w:rsidRDefault="005F5D38">
                          <w:pPr>
                            <w:pStyle w:val="af8"/>
                            <w:rPr>
                              <w:rFonts w:ascii="宋体" w:hAnsi="宋体"/>
                              <w:sz w:val="22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hint="eastAsia"/>
                              <w:sz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hint="eastAsia"/>
                              <w:sz w:val="22"/>
                            </w:rPr>
                            <w:fldChar w:fldCharType="separate"/>
                          </w:r>
                          <w:r w:rsidR="00423674">
                            <w:rPr>
                              <w:rFonts w:ascii="宋体" w:hAnsi="宋体"/>
                              <w:noProof/>
                              <w:sz w:val="22"/>
                            </w:rPr>
                            <w:t>8</w:t>
                          </w:r>
                          <w:r>
                            <w:rPr>
                              <w:rFonts w:ascii="宋体" w:hAnsi="宋体" w:hint="eastAsia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DB59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4.4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" filled="f" stroked="f" strokeweight=".5pt">
              <v:textbox style="mso-fit-shape-to-text:t" inset="0,0,0,0">
                <w:txbxContent>
                  <w:p w14:paraId="6CF0DFA4" w14:textId="6C6FF43E" w:rsidR="006B65C5" w:rsidRDefault="005F5D38">
                    <w:pPr>
                      <w:pStyle w:val="af8"/>
                      <w:rPr>
                        <w:rFonts w:ascii="宋体" w:hAnsi="宋体"/>
                        <w:sz w:val="22"/>
                      </w:rPr>
                    </w:pPr>
                    <w:r>
                      <w:rPr>
                        <w:rFonts w:ascii="宋体" w:hAnsi="宋体" w:hint="eastAsia"/>
                        <w:sz w:val="22"/>
                      </w:rPr>
                      <w:fldChar w:fldCharType="begin"/>
                    </w:r>
                    <w:r>
                      <w:rPr>
                        <w:rFonts w:ascii="宋体" w:hAnsi="宋体" w:hint="eastAsia"/>
                        <w:sz w:val="22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hint="eastAsia"/>
                        <w:sz w:val="22"/>
                      </w:rPr>
                      <w:fldChar w:fldCharType="separate"/>
                    </w:r>
                    <w:r w:rsidR="00423674">
                      <w:rPr>
                        <w:rFonts w:ascii="宋体" w:hAnsi="宋体"/>
                        <w:noProof/>
                        <w:sz w:val="22"/>
                      </w:rPr>
                      <w:t>8</w:t>
                    </w:r>
                    <w:r>
                      <w:rPr>
                        <w:rFonts w:ascii="宋体" w:hAnsi="宋体" w:hint="eastAsia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217C3" w14:textId="77777777" w:rsidR="00D34744" w:rsidRDefault="00D34744">
      <w:r>
        <w:separator/>
      </w:r>
    </w:p>
  </w:footnote>
  <w:footnote w:type="continuationSeparator" w:id="0">
    <w:p w14:paraId="1214AD97" w14:textId="77777777" w:rsidR="00D34744" w:rsidRDefault="00D34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DF8329"/>
    <w:multiLevelType w:val="multilevel"/>
    <w:tmpl w:val="8DDF8329"/>
    <w:lvl w:ilvl="0">
      <w:start w:val="1"/>
      <w:numFmt w:val="decimal"/>
      <w:pStyle w:val="a"/>
      <w:suff w:val="nothing"/>
      <w:lvlText w:val="表%1　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567"/>
      <w:lvlJc w:val="left"/>
      <w:pPr>
        <w:ind w:left="992" w:hanging="567"/>
      </w:pPr>
    </w:lvl>
    <w:lvl w:ilvl="2">
      <w:start w:val="1"/>
      <w:numFmt w:val="decimal"/>
      <w:lvlText w:val="%1.%2.%3"/>
      <w:legacy w:legacy="1" w:legacySpace="0" w:legacyIndent="567"/>
      <w:lvlJc w:val="left"/>
      <w:pPr>
        <w:ind w:left="1417" w:hanging="567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1984" w:hanging="708"/>
      </w:pPr>
    </w:lvl>
    <w:lvl w:ilvl="4">
      <w:start w:val="1"/>
      <w:numFmt w:val="decimal"/>
      <w:lvlText w:val="%1.%2.%3.%4.%5"/>
      <w:legacy w:legacy="1" w:legacySpace="0" w:legacyIndent="850"/>
      <w:lvlJc w:val="left"/>
      <w:pPr>
        <w:ind w:left="2551" w:hanging="850"/>
      </w:pPr>
    </w:lvl>
    <w:lvl w:ilvl="5">
      <w:start w:val="1"/>
      <w:numFmt w:val="decimal"/>
      <w:lvlText w:val="%1.%2.%3.%4.%5.%6"/>
      <w:legacy w:legacy="1" w:legacySpace="0" w:legacyIndent="1134"/>
      <w:lvlJc w:val="left"/>
      <w:pPr>
        <w:ind w:left="3260" w:hanging="1134"/>
      </w:pPr>
    </w:lvl>
    <w:lvl w:ilvl="6">
      <w:start w:val="1"/>
      <w:numFmt w:val="decimal"/>
      <w:lvlText w:val="%1.%2.%3.%4.%5.%6.%7"/>
      <w:legacy w:legacy="1" w:legacySpace="0" w:legacyIndent="1276"/>
      <w:lvlJc w:val="left"/>
      <w:pPr>
        <w:ind w:left="3827" w:hanging="1276"/>
      </w:pPr>
    </w:lvl>
    <w:lvl w:ilvl="7">
      <w:start w:val="1"/>
      <w:numFmt w:val="decimal"/>
      <w:lvlText w:val="%1.%2.%3.%4.%5.%6.%7.%8"/>
      <w:legacy w:legacy="1" w:legacySpace="0" w:legacyIndent="1418"/>
      <w:lvlJc w:val="left"/>
      <w:pPr>
        <w:ind w:left="4394" w:hanging="1418"/>
      </w:pPr>
    </w:lvl>
    <w:lvl w:ilvl="8">
      <w:start w:val="1"/>
      <w:numFmt w:val="decimal"/>
      <w:lvlText w:val="%1.%2.%3.%4.%5.%6.%7.%8.%9"/>
      <w:legacy w:legacy="1" w:legacySpace="0" w:legacyIndent="1700"/>
      <w:lvlJc w:val="left"/>
      <w:pPr>
        <w:ind w:left="5102" w:hanging="1700"/>
      </w:pPr>
    </w:lvl>
  </w:abstractNum>
  <w:abstractNum w:abstractNumId="1" w15:restartNumberingAfterBreak="0">
    <w:nsid w:val="0BDC1670"/>
    <w:multiLevelType w:val="multilevel"/>
    <w:tmpl w:val="0BDC1670"/>
    <w:lvl w:ilvl="0">
      <w:start w:val="1"/>
      <w:numFmt w:val="decimal"/>
      <w:pStyle w:val="a0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C5917C3"/>
    <w:multiLevelType w:val="multilevel"/>
    <w:tmpl w:val="2C5917C3"/>
    <w:lvl w:ilvl="0">
      <w:start w:val="1"/>
      <w:numFmt w:val="none"/>
      <w:pStyle w:val="a1"/>
      <w:lvlText w:val="%1——"/>
      <w:lvlJc w:val="left"/>
      <w:pPr>
        <w:tabs>
          <w:tab w:val="left" w:pos="851"/>
        </w:tabs>
        <w:ind w:left="636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lvlText w:val=""/>
      <w:lvlJc w:val="left"/>
      <w:pPr>
        <w:ind w:left="636" w:hanging="431"/>
      </w:pPr>
      <w:rPr>
        <w:rFonts w:ascii="Symbol" w:hAnsi="Symbol" w:hint="default"/>
        <w:sz w:val="21"/>
      </w:rPr>
    </w:lvl>
    <w:lvl w:ilvl="2">
      <w:start w:val="1"/>
      <w:numFmt w:val="bullet"/>
      <w:lvlText w:val=""/>
      <w:lvlJc w:val="left"/>
      <w:pPr>
        <w:ind w:left="636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669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1981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293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605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2917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229" w:hanging="528"/>
      </w:pPr>
      <w:rPr>
        <w:rFonts w:hint="eastAsia"/>
      </w:rPr>
    </w:lvl>
  </w:abstractNum>
  <w:abstractNum w:abstractNumId="3" w15:restartNumberingAfterBreak="0">
    <w:nsid w:val="34124BC7"/>
    <w:multiLevelType w:val="hybridMultilevel"/>
    <w:tmpl w:val="AC2CA33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4C50F90"/>
    <w:multiLevelType w:val="multilevel"/>
    <w:tmpl w:val="44C50F90"/>
    <w:lvl w:ilvl="0">
      <w:start w:val="1"/>
      <w:numFmt w:val="lowerLetter"/>
      <w:pStyle w:val="a2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3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4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5" w15:restartNumberingAfterBreak="0">
    <w:nsid w:val="5A9B6960"/>
    <w:multiLevelType w:val="multilevel"/>
    <w:tmpl w:val="5A9B6960"/>
    <w:lvl w:ilvl="0">
      <w:start w:val="1"/>
      <w:numFmt w:val="none"/>
      <w:pStyle w:val="a5"/>
      <w:suff w:val="nothing"/>
      <w:lvlText w:val="%1"/>
      <w:legacy w:legacy="1" w:legacySpace="0" w:legacyIndent="0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6"/>
      <w:suff w:val="nothing"/>
      <w:lvlText w:val="%1%2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2">
      <w:start w:val="1"/>
      <w:numFmt w:val="decimal"/>
      <w:pStyle w:val="a7"/>
      <w:suff w:val="nothing"/>
      <w:lvlText w:val="%1%2.%3　"/>
      <w:legacy w:legacy="1" w:legacySpace="0" w:legacyIndent="0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%2.%3.%4.%5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%2.%3.%4.%5.%6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6">
      <w:start w:val="1"/>
      <w:numFmt w:val="decimal"/>
      <w:pStyle w:val="aa"/>
      <w:suff w:val="nothing"/>
      <w:lvlText w:val="%1%2.%3.%4.%5.%6.%7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egacy w:legacy="1" w:legacySpace="0" w:legacyIndent="141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egacy w:legacy="1" w:legacySpace="0" w:legacyIndent="1700"/>
      <w:lvlJc w:val="left"/>
      <w:pPr>
        <w:ind w:left="4677" w:hanging="1700"/>
      </w:pPr>
      <w:rPr>
        <w:rFonts w:hint="eastAsia"/>
      </w:rPr>
    </w:lvl>
  </w:abstractNum>
  <w:abstractNum w:abstractNumId="6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Dc0ZjI4NzNlMjMwZWM0OGFmYTgxZDU4M2Y4NDAifQ=="/>
  </w:docVars>
  <w:rsids>
    <w:rsidRoot w:val="000D75AA"/>
    <w:rsid w:val="D9BF3AD6"/>
    <w:rsid w:val="E7FFD9D9"/>
    <w:rsid w:val="FB77A368"/>
    <w:rsid w:val="FF7FD2F3"/>
    <w:rsid w:val="00000831"/>
    <w:rsid w:val="000068A2"/>
    <w:rsid w:val="0000746F"/>
    <w:rsid w:val="00014983"/>
    <w:rsid w:val="000171F6"/>
    <w:rsid w:val="000178C8"/>
    <w:rsid w:val="00021A74"/>
    <w:rsid w:val="00021AEF"/>
    <w:rsid w:val="00022B48"/>
    <w:rsid w:val="00023CD6"/>
    <w:rsid w:val="00024C52"/>
    <w:rsid w:val="000361D9"/>
    <w:rsid w:val="00041142"/>
    <w:rsid w:val="00041CA7"/>
    <w:rsid w:val="00045E58"/>
    <w:rsid w:val="00051A80"/>
    <w:rsid w:val="00051C74"/>
    <w:rsid w:val="00051F5E"/>
    <w:rsid w:val="000540AB"/>
    <w:rsid w:val="00055442"/>
    <w:rsid w:val="0006459C"/>
    <w:rsid w:val="000709A1"/>
    <w:rsid w:val="00072103"/>
    <w:rsid w:val="00073058"/>
    <w:rsid w:val="000743B4"/>
    <w:rsid w:val="00075653"/>
    <w:rsid w:val="00076330"/>
    <w:rsid w:val="000804C8"/>
    <w:rsid w:val="00082613"/>
    <w:rsid w:val="000836DC"/>
    <w:rsid w:val="00087B5A"/>
    <w:rsid w:val="00092E1F"/>
    <w:rsid w:val="000932A2"/>
    <w:rsid w:val="000940F9"/>
    <w:rsid w:val="00094B6B"/>
    <w:rsid w:val="000968C6"/>
    <w:rsid w:val="000969BE"/>
    <w:rsid w:val="000A36DD"/>
    <w:rsid w:val="000B2C81"/>
    <w:rsid w:val="000B2F3C"/>
    <w:rsid w:val="000B3320"/>
    <w:rsid w:val="000B3E65"/>
    <w:rsid w:val="000B6E76"/>
    <w:rsid w:val="000B748E"/>
    <w:rsid w:val="000C517B"/>
    <w:rsid w:val="000D211A"/>
    <w:rsid w:val="000D35F1"/>
    <w:rsid w:val="000D75AA"/>
    <w:rsid w:val="000D7F56"/>
    <w:rsid w:val="000E28E9"/>
    <w:rsid w:val="000E53EA"/>
    <w:rsid w:val="000F21F0"/>
    <w:rsid w:val="000F2861"/>
    <w:rsid w:val="000F3BB3"/>
    <w:rsid w:val="000F604A"/>
    <w:rsid w:val="000F61A7"/>
    <w:rsid w:val="00102400"/>
    <w:rsid w:val="0010338D"/>
    <w:rsid w:val="00110AC2"/>
    <w:rsid w:val="001120A0"/>
    <w:rsid w:val="001121F0"/>
    <w:rsid w:val="001133E6"/>
    <w:rsid w:val="0012345E"/>
    <w:rsid w:val="00125842"/>
    <w:rsid w:val="00127E58"/>
    <w:rsid w:val="00132D8B"/>
    <w:rsid w:val="00133F3E"/>
    <w:rsid w:val="0013596D"/>
    <w:rsid w:val="001363BD"/>
    <w:rsid w:val="00136CB0"/>
    <w:rsid w:val="001414C7"/>
    <w:rsid w:val="00141D9D"/>
    <w:rsid w:val="00151F7B"/>
    <w:rsid w:val="00152CB3"/>
    <w:rsid w:val="00153A4E"/>
    <w:rsid w:val="001548F8"/>
    <w:rsid w:val="00160A77"/>
    <w:rsid w:val="00163FFE"/>
    <w:rsid w:val="001655CC"/>
    <w:rsid w:val="001748D4"/>
    <w:rsid w:val="00175140"/>
    <w:rsid w:val="0018012C"/>
    <w:rsid w:val="001821C9"/>
    <w:rsid w:val="00183018"/>
    <w:rsid w:val="00184D1A"/>
    <w:rsid w:val="00190E01"/>
    <w:rsid w:val="001928E9"/>
    <w:rsid w:val="00195660"/>
    <w:rsid w:val="001968C3"/>
    <w:rsid w:val="001A25BD"/>
    <w:rsid w:val="001A69C0"/>
    <w:rsid w:val="001A7570"/>
    <w:rsid w:val="001B0030"/>
    <w:rsid w:val="001B3057"/>
    <w:rsid w:val="001B3580"/>
    <w:rsid w:val="001B6B04"/>
    <w:rsid w:val="001C21D4"/>
    <w:rsid w:val="001C4C8F"/>
    <w:rsid w:val="001C7DE8"/>
    <w:rsid w:val="001D0584"/>
    <w:rsid w:val="001D3156"/>
    <w:rsid w:val="001D4971"/>
    <w:rsid w:val="001E1206"/>
    <w:rsid w:val="001E29C4"/>
    <w:rsid w:val="001E2D73"/>
    <w:rsid w:val="001F1AA9"/>
    <w:rsid w:val="001F251A"/>
    <w:rsid w:val="001F4D35"/>
    <w:rsid w:val="0020127F"/>
    <w:rsid w:val="00205352"/>
    <w:rsid w:val="00205D69"/>
    <w:rsid w:val="00210FD3"/>
    <w:rsid w:val="00212227"/>
    <w:rsid w:val="00214EAB"/>
    <w:rsid w:val="002164B4"/>
    <w:rsid w:val="002171A0"/>
    <w:rsid w:val="002209F0"/>
    <w:rsid w:val="002210B4"/>
    <w:rsid w:val="00221DEA"/>
    <w:rsid w:val="0022236C"/>
    <w:rsid w:val="00226607"/>
    <w:rsid w:val="00230E98"/>
    <w:rsid w:val="002324B6"/>
    <w:rsid w:val="00232C78"/>
    <w:rsid w:val="00232E3B"/>
    <w:rsid w:val="00234F7D"/>
    <w:rsid w:val="00236909"/>
    <w:rsid w:val="00236EB4"/>
    <w:rsid w:val="00241F8A"/>
    <w:rsid w:val="00242E52"/>
    <w:rsid w:val="0025373A"/>
    <w:rsid w:val="00253845"/>
    <w:rsid w:val="002546EF"/>
    <w:rsid w:val="0025676C"/>
    <w:rsid w:val="00262001"/>
    <w:rsid w:val="00263E80"/>
    <w:rsid w:val="00264265"/>
    <w:rsid w:val="00266606"/>
    <w:rsid w:val="00271E05"/>
    <w:rsid w:val="002747F5"/>
    <w:rsid w:val="00274B73"/>
    <w:rsid w:val="00280BDB"/>
    <w:rsid w:val="00281F39"/>
    <w:rsid w:val="0028500C"/>
    <w:rsid w:val="0028575C"/>
    <w:rsid w:val="002879F6"/>
    <w:rsid w:val="00292F73"/>
    <w:rsid w:val="0029554A"/>
    <w:rsid w:val="00297734"/>
    <w:rsid w:val="002A2BEC"/>
    <w:rsid w:val="002A2DDC"/>
    <w:rsid w:val="002A3479"/>
    <w:rsid w:val="002B723D"/>
    <w:rsid w:val="002B7B10"/>
    <w:rsid w:val="002B7C92"/>
    <w:rsid w:val="002C176B"/>
    <w:rsid w:val="002C1D4E"/>
    <w:rsid w:val="002C3627"/>
    <w:rsid w:val="002C5F9C"/>
    <w:rsid w:val="002D18E3"/>
    <w:rsid w:val="002D2273"/>
    <w:rsid w:val="002D5597"/>
    <w:rsid w:val="002E1B63"/>
    <w:rsid w:val="002E357A"/>
    <w:rsid w:val="002E3B58"/>
    <w:rsid w:val="002E4234"/>
    <w:rsid w:val="002E5273"/>
    <w:rsid w:val="002E6F0F"/>
    <w:rsid w:val="002F0D8E"/>
    <w:rsid w:val="002F4C45"/>
    <w:rsid w:val="002F5C0C"/>
    <w:rsid w:val="00302739"/>
    <w:rsid w:val="0030356D"/>
    <w:rsid w:val="00307774"/>
    <w:rsid w:val="00313329"/>
    <w:rsid w:val="00316588"/>
    <w:rsid w:val="00317091"/>
    <w:rsid w:val="00317530"/>
    <w:rsid w:val="00320CB4"/>
    <w:rsid w:val="00321E92"/>
    <w:rsid w:val="00322535"/>
    <w:rsid w:val="003259AF"/>
    <w:rsid w:val="00325F9F"/>
    <w:rsid w:val="003306DD"/>
    <w:rsid w:val="00330A4E"/>
    <w:rsid w:val="00332242"/>
    <w:rsid w:val="003332BA"/>
    <w:rsid w:val="00340D9B"/>
    <w:rsid w:val="00340FDE"/>
    <w:rsid w:val="003460F3"/>
    <w:rsid w:val="00346534"/>
    <w:rsid w:val="00347BB4"/>
    <w:rsid w:val="003517E7"/>
    <w:rsid w:val="003530C8"/>
    <w:rsid w:val="00357BDF"/>
    <w:rsid w:val="00360BAF"/>
    <w:rsid w:val="00361296"/>
    <w:rsid w:val="00361596"/>
    <w:rsid w:val="00362C01"/>
    <w:rsid w:val="0036450F"/>
    <w:rsid w:val="00366228"/>
    <w:rsid w:val="00366277"/>
    <w:rsid w:val="00367D5E"/>
    <w:rsid w:val="00370812"/>
    <w:rsid w:val="00371B5F"/>
    <w:rsid w:val="00372E66"/>
    <w:rsid w:val="00373160"/>
    <w:rsid w:val="00375933"/>
    <w:rsid w:val="0037633C"/>
    <w:rsid w:val="00377A1C"/>
    <w:rsid w:val="00382E35"/>
    <w:rsid w:val="00384168"/>
    <w:rsid w:val="003872E4"/>
    <w:rsid w:val="00390AD8"/>
    <w:rsid w:val="00390C14"/>
    <w:rsid w:val="003920A4"/>
    <w:rsid w:val="00393447"/>
    <w:rsid w:val="00396F2C"/>
    <w:rsid w:val="003A3F27"/>
    <w:rsid w:val="003A5862"/>
    <w:rsid w:val="003A587F"/>
    <w:rsid w:val="003B0042"/>
    <w:rsid w:val="003B45A7"/>
    <w:rsid w:val="003B4F42"/>
    <w:rsid w:val="003B4FCF"/>
    <w:rsid w:val="003B5B72"/>
    <w:rsid w:val="003C0DAA"/>
    <w:rsid w:val="003C0E61"/>
    <w:rsid w:val="003C7382"/>
    <w:rsid w:val="003D1B3B"/>
    <w:rsid w:val="003D2036"/>
    <w:rsid w:val="003D2335"/>
    <w:rsid w:val="003D483D"/>
    <w:rsid w:val="003D485E"/>
    <w:rsid w:val="003E080C"/>
    <w:rsid w:val="003E3BA3"/>
    <w:rsid w:val="003F1D97"/>
    <w:rsid w:val="003F3EB2"/>
    <w:rsid w:val="00400A69"/>
    <w:rsid w:val="00405301"/>
    <w:rsid w:val="00406CA3"/>
    <w:rsid w:val="00411EFB"/>
    <w:rsid w:val="004123A3"/>
    <w:rsid w:val="00414767"/>
    <w:rsid w:val="00415B0D"/>
    <w:rsid w:val="00417593"/>
    <w:rsid w:val="00422CC8"/>
    <w:rsid w:val="00423674"/>
    <w:rsid w:val="0042686B"/>
    <w:rsid w:val="00426DC5"/>
    <w:rsid w:val="00427399"/>
    <w:rsid w:val="00430411"/>
    <w:rsid w:val="004314F4"/>
    <w:rsid w:val="00432DC4"/>
    <w:rsid w:val="00433D00"/>
    <w:rsid w:val="004348F7"/>
    <w:rsid w:val="00436198"/>
    <w:rsid w:val="004373E9"/>
    <w:rsid w:val="0044036C"/>
    <w:rsid w:val="0044065E"/>
    <w:rsid w:val="00444679"/>
    <w:rsid w:val="004458BB"/>
    <w:rsid w:val="00445A19"/>
    <w:rsid w:val="00446351"/>
    <w:rsid w:val="0045095B"/>
    <w:rsid w:val="004526B7"/>
    <w:rsid w:val="00455701"/>
    <w:rsid w:val="00461AA3"/>
    <w:rsid w:val="00462FF9"/>
    <w:rsid w:val="00471CEC"/>
    <w:rsid w:val="00473D8F"/>
    <w:rsid w:val="004805DB"/>
    <w:rsid w:val="00480B2B"/>
    <w:rsid w:val="00481E78"/>
    <w:rsid w:val="004828E9"/>
    <w:rsid w:val="0048511D"/>
    <w:rsid w:val="00496185"/>
    <w:rsid w:val="004A75FF"/>
    <w:rsid w:val="004B3C3F"/>
    <w:rsid w:val="004B4D68"/>
    <w:rsid w:val="004C181C"/>
    <w:rsid w:val="004C445A"/>
    <w:rsid w:val="004C4477"/>
    <w:rsid w:val="004C6673"/>
    <w:rsid w:val="004C78DD"/>
    <w:rsid w:val="004C7CD6"/>
    <w:rsid w:val="004D3C4E"/>
    <w:rsid w:val="004D6975"/>
    <w:rsid w:val="004D7C66"/>
    <w:rsid w:val="004E0167"/>
    <w:rsid w:val="004E152E"/>
    <w:rsid w:val="004E6C3D"/>
    <w:rsid w:val="004F04E5"/>
    <w:rsid w:val="004F29B4"/>
    <w:rsid w:val="004F3228"/>
    <w:rsid w:val="004F6DB3"/>
    <w:rsid w:val="005020DE"/>
    <w:rsid w:val="00503305"/>
    <w:rsid w:val="0050413F"/>
    <w:rsid w:val="005051BE"/>
    <w:rsid w:val="00505CD2"/>
    <w:rsid w:val="00507132"/>
    <w:rsid w:val="00507297"/>
    <w:rsid w:val="005124A3"/>
    <w:rsid w:val="00515B82"/>
    <w:rsid w:val="0051608A"/>
    <w:rsid w:val="0051755E"/>
    <w:rsid w:val="005208D0"/>
    <w:rsid w:val="00524E15"/>
    <w:rsid w:val="00530923"/>
    <w:rsid w:val="00530C56"/>
    <w:rsid w:val="00533B2A"/>
    <w:rsid w:val="0053400A"/>
    <w:rsid w:val="005347E0"/>
    <w:rsid w:val="0053635F"/>
    <w:rsid w:val="00536C3C"/>
    <w:rsid w:val="00537853"/>
    <w:rsid w:val="00537E5F"/>
    <w:rsid w:val="00540C2F"/>
    <w:rsid w:val="0054119B"/>
    <w:rsid w:val="0054736C"/>
    <w:rsid w:val="005505FD"/>
    <w:rsid w:val="00554B7D"/>
    <w:rsid w:val="00555C92"/>
    <w:rsid w:val="005563C0"/>
    <w:rsid w:val="00563910"/>
    <w:rsid w:val="00564592"/>
    <w:rsid w:val="00564A0C"/>
    <w:rsid w:val="00564F91"/>
    <w:rsid w:val="0056706B"/>
    <w:rsid w:val="00571BCB"/>
    <w:rsid w:val="005734DC"/>
    <w:rsid w:val="00573DE7"/>
    <w:rsid w:val="00575956"/>
    <w:rsid w:val="00575C51"/>
    <w:rsid w:val="0057711F"/>
    <w:rsid w:val="005777D1"/>
    <w:rsid w:val="00586987"/>
    <w:rsid w:val="005910DC"/>
    <w:rsid w:val="005945C3"/>
    <w:rsid w:val="00594F6B"/>
    <w:rsid w:val="0059544C"/>
    <w:rsid w:val="00596891"/>
    <w:rsid w:val="00597C52"/>
    <w:rsid w:val="005A067E"/>
    <w:rsid w:val="005A2B98"/>
    <w:rsid w:val="005A39CB"/>
    <w:rsid w:val="005A6E04"/>
    <w:rsid w:val="005B29FF"/>
    <w:rsid w:val="005B304B"/>
    <w:rsid w:val="005C07C8"/>
    <w:rsid w:val="005C1174"/>
    <w:rsid w:val="005C2C71"/>
    <w:rsid w:val="005C5B2E"/>
    <w:rsid w:val="005C68B4"/>
    <w:rsid w:val="005C7615"/>
    <w:rsid w:val="005D3003"/>
    <w:rsid w:val="005D4A89"/>
    <w:rsid w:val="005D616B"/>
    <w:rsid w:val="005D6C2D"/>
    <w:rsid w:val="005E1815"/>
    <w:rsid w:val="005E3C13"/>
    <w:rsid w:val="005E7B33"/>
    <w:rsid w:val="005F09D2"/>
    <w:rsid w:val="005F1668"/>
    <w:rsid w:val="005F2769"/>
    <w:rsid w:val="005F2AD0"/>
    <w:rsid w:val="005F2FD2"/>
    <w:rsid w:val="005F3061"/>
    <w:rsid w:val="005F4961"/>
    <w:rsid w:val="005F5D38"/>
    <w:rsid w:val="0060186C"/>
    <w:rsid w:val="00603AFD"/>
    <w:rsid w:val="006053F6"/>
    <w:rsid w:val="00605A2E"/>
    <w:rsid w:val="0060769D"/>
    <w:rsid w:val="006121F4"/>
    <w:rsid w:val="00617590"/>
    <w:rsid w:val="00617B08"/>
    <w:rsid w:val="00617C39"/>
    <w:rsid w:val="00622A81"/>
    <w:rsid w:val="006260BB"/>
    <w:rsid w:val="00627AB4"/>
    <w:rsid w:val="00631D1E"/>
    <w:rsid w:val="006335ED"/>
    <w:rsid w:val="00633E53"/>
    <w:rsid w:val="006342DB"/>
    <w:rsid w:val="006343EC"/>
    <w:rsid w:val="0063539D"/>
    <w:rsid w:val="006371EA"/>
    <w:rsid w:val="00637F53"/>
    <w:rsid w:val="006404F9"/>
    <w:rsid w:val="00650AC3"/>
    <w:rsid w:val="00650FD7"/>
    <w:rsid w:val="006511A8"/>
    <w:rsid w:val="006511B3"/>
    <w:rsid w:val="00654C80"/>
    <w:rsid w:val="00660ECB"/>
    <w:rsid w:val="00661F06"/>
    <w:rsid w:val="00662588"/>
    <w:rsid w:val="00664AC8"/>
    <w:rsid w:val="0066728E"/>
    <w:rsid w:val="00670A8B"/>
    <w:rsid w:val="0067378F"/>
    <w:rsid w:val="0067489E"/>
    <w:rsid w:val="00675BAB"/>
    <w:rsid w:val="006773E1"/>
    <w:rsid w:val="00680042"/>
    <w:rsid w:val="00681FEA"/>
    <w:rsid w:val="00682F7F"/>
    <w:rsid w:val="00685738"/>
    <w:rsid w:val="006905AE"/>
    <w:rsid w:val="00691000"/>
    <w:rsid w:val="00693E48"/>
    <w:rsid w:val="00695932"/>
    <w:rsid w:val="00695D34"/>
    <w:rsid w:val="006A1B00"/>
    <w:rsid w:val="006A4226"/>
    <w:rsid w:val="006A4FC1"/>
    <w:rsid w:val="006A5636"/>
    <w:rsid w:val="006A6CB4"/>
    <w:rsid w:val="006A7BBC"/>
    <w:rsid w:val="006B0BA0"/>
    <w:rsid w:val="006B12C0"/>
    <w:rsid w:val="006B65C5"/>
    <w:rsid w:val="006C52BF"/>
    <w:rsid w:val="006D0AF0"/>
    <w:rsid w:val="006D35B1"/>
    <w:rsid w:val="006D35DC"/>
    <w:rsid w:val="006D72AA"/>
    <w:rsid w:val="006E1443"/>
    <w:rsid w:val="006E2C64"/>
    <w:rsid w:val="006E477E"/>
    <w:rsid w:val="006F0A45"/>
    <w:rsid w:val="006F4DF7"/>
    <w:rsid w:val="006F55FA"/>
    <w:rsid w:val="006F6FB7"/>
    <w:rsid w:val="00701EC0"/>
    <w:rsid w:val="0071134C"/>
    <w:rsid w:val="007114E4"/>
    <w:rsid w:val="00714DDE"/>
    <w:rsid w:val="0071698C"/>
    <w:rsid w:val="00725212"/>
    <w:rsid w:val="00727505"/>
    <w:rsid w:val="00727802"/>
    <w:rsid w:val="00731B29"/>
    <w:rsid w:val="00733795"/>
    <w:rsid w:val="007348F9"/>
    <w:rsid w:val="007351D6"/>
    <w:rsid w:val="00735889"/>
    <w:rsid w:val="00737200"/>
    <w:rsid w:val="00737D62"/>
    <w:rsid w:val="00737FEF"/>
    <w:rsid w:val="00740C40"/>
    <w:rsid w:val="00741162"/>
    <w:rsid w:val="00742E57"/>
    <w:rsid w:val="0074491A"/>
    <w:rsid w:val="00754D85"/>
    <w:rsid w:val="00754F67"/>
    <w:rsid w:val="007557E4"/>
    <w:rsid w:val="00756356"/>
    <w:rsid w:val="00757FD8"/>
    <w:rsid w:val="007605F1"/>
    <w:rsid w:val="00774434"/>
    <w:rsid w:val="007756AB"/>
    <w:rsid w:val="007811F6"/>
    <w:rsid w:val="00781896"/>
    <w:rsid w:val="00781D6C"/>
    <w:rsid w:val="007845E1"/>
    <w:rsid w:val="00786429"/>
    <w:rsid w:val="00792EAE"/>
    <w:rsid w:val="007936EA"/>
    <w:rsid w:val="007940A9"/>
    <w:rsid w:val="007940BF"/>
    <w:rsid w:val="007A149B"/>
    <w:rsid w:val="007A3424"/>
    <w:rsid w:val="007C244C"/>
    <w:rsid w:val="007C66E4"/>
    <w:rsid w:val="007C7536"/>
    <w:rsid w:val="007D0D78"/>
    <w:rsid w:val="007D1FFC"/>
    <w:rsid w:val="007D725F"/>
    <w:rsid w:val="007E52EF"/>
    <w:rsid w:val="007E608C"/>
    <w:rsid w:val="007F44C1"/>
    <w:rsid w:val="00801A7F"/>
    <w:rsid w:val="00801F02"/>
    <w:rsid w:val="00803765"/>
    <w:rsid w:val="0080563C"/>
    <w:rsid w:val="00806BAC"/>
    <w:rsid w:val="00812DC4"/>
    <w:rsid w:val="00813A84"/>
    <w:rsid w:val="00814260"/>
    <w:rsid w:val="00814DA3"/>
    <w:rsid w:val="00815F39"/>
    <w:rsid w:val="008206EE"/>
    <w:rsid w:val="00821563"/>
    <w:rsid w:val="008216E8"/>
    <w:rsid w:val="00823DCE"/>
    <w:rsid w:val="008247C4"/>
    <w:rsid w:val="00824BBC"/>
    <w:rsid w:val="008264D6"/>
    <w:rsid w:val="00826611"/>
    <w:rsid w:val="00826BFA"/>
    <w:rsid w:val="00827184"/>
    <w:rsid w:val="008315E7"/>
    <w:rsid w:val="00831A18"/>
    <w:rsid w:val="0083258C"/>
    <w:rsid w:val="00833772"/>
    <w:rsid w:val="0083703C"/>
    <w:rsid w:val="00840B0D"/>
    <w:rsid w:val="0084154F"/>
    <w:rsid w:val="00846F9A"/>
    <w:rsid w:val="00850D96"/>
    <w:rsid w:val="00853F5C"/>
    <w:rsid w:val="00854417"/>
    <w:rsid w:val="00856862"/>
    <w:rsid w:val="00860AE3"/>
    <w:rsid w:val="00862F16"/>
    <w:rsid w:val="008743BF"/>
    <w:rsid w:val="00874BB5"/>
    <w:rsid w:val="00875F6C"/>
    <w:rsid w:val="008779C2"/>
    <w:rsid w:val="00883A1D"/>
    <w:rsid w:val="00883F30"/>
    <w:rsid w:val="00884A57"/>
    <w:rsid w:val="00885100"/>
    <w:rsid w:val="00886C98"/>
    <w:rsid w:val="00886CE3"/>
    <w:rsid w:val="00887632"/>
    <w:rsid w:val="00893A2E"/>
    <w:rsid w:val="00895F4A"/>
    <w:rsid w:val="008973E6"/>
    <w:rsid w:val="008A008B"/>
    <w:rsid w:val="008A0B3F"/>
    <w:rsid w:val="008A3C18"/>
    <w:rsid w:val="008A62AA"/>
    <w:rsid w:val="008A6490"/>
    <w:rsid w:val="008A68FC"/>
    <w:rsid w:val="008B29D3"/>
    <w:rsid w:val="008B3416"/>
    <w:rsid w:val="008B4863"/>
    <w:rsid w:val="008B579D"/>
    <w:rsid w:val="008B6B5F"/>
    <w:rsid w:val="008C1125"/>
    <w:rsid w:val="008C2552"/>
    <w:rsid w:val="008C44D0"/>
    <w:rsid w:val="008C50FF"/>
    <w:rsid w:val="008D02D8"/>
    <w:rsid w:val="008D78B0"/>
    <w:rsid w:val="008E1EB5"/>
    <w:rsid w:val="008E63DC"/>
    <w:rsid w:val="008E7ADB"/>
    <w:rsid w:val="008E7C88"/>
    <w:rsid w:val="008F0327"/>
    <w:rsid w:val="008F0F8A"/>
    <w:rsid w:val="008F2A53"/>
    <w:rsid w:val="008F3A33"/>
    <w:rsid w:val="009009D6"/>
    <w:rsid w:val="009029CF"/>
    <w:rsid w:val="00905E4B"/>
    <w:rsid w:val="00913E57"/>
    <w:rsid w:val="00917DDE"/>
    <w:rsid w:val="00924305"/>
    <w:rsid w:val="00926112"/>
    <w:rsid w:val="00926E1B"/>
    <w:rsid w:val="009317D5"/>
    <w:rsid w:val="00932BA3"/>
    <w:rsid w:val="00935854"/>
    <w:rsid w:val="00940E07"/>
    <w:rsid w:val="009411E1"/>
    <w:rsid w:val="00943727"/>
    <w:rsid w:val="00943854"/>
    <w:rsid w:val="00947EBA"/>
    <w:rsid w:val="00951738"/>
    <w:rsid w:val="00953891"/>
    <w:rsid w:val="00961E25"/>
    <w:rsid w:val="0096388F"/>
    <w:rsid w:val="00963992"/>
    <w:rsid w:val="00966431"/>
    <w:rsid w:val="00966FB4"/>
    <w:rsid w:val="009706A4"/>
    <w:rsid w:val="00970FC4"/>
    <w:rsid w:val="00971533"/>
    <w:rsid w:val="009718CC"/>
    <w:rsid w:val="009750C1"/>
    <w:rsid w:val="00975641"/>
    <w:rsid w:val="00975CD3"/>
    <w:rsid w:val="00981604"/>
    <w:rsid w:val="00991C98"/>
    <w:rsid w:val="00994827"/>
    <w:rsid w:val="009A0CE8"/>
    <w:rsid w:val="009A27F5"/>
    <w:rsid w:val="009A2EFE"/>
    <w:rsid w:val="009A4141"/>
    <w:rsid w:val="009A62C4"/>
    <w:rsid w:val="009A6EA6"/>
    <w:rsid w:val="009A782A"/>
    <w:rsid w:val="009A78A5"/>
    <w:rsid w:val="009A7A2D"/>
    <w:rsid w:val="009B36FD"/>
    <w:rsid w:val="009C0BDB"/>
    <w:rsid w:val="009C2645"/>
    <w:rsid w:val="009C5B24"/>
    <w:rsid w:val="009C643E"/>
    <w:rsid w:val="009D1FB0"/>
    <w:rsid w:val="009D2D7E"/>
    <w:rsid w:val="009D5100"/>
    <w:rsid w:val="009E3161"/>
    <w:rsid w:val="009F0F09"/>
    <w:rsid w:val="009F25E1"/>
    <w:rsid w:val="009F33B1"/>
    <w:rsid w:val="009F3962"/>
    <w:rsid w:val="009F5B7F"/>
    <w:rsid w:val="009F7D99"/>
    <w:rsid w:val="00A00814"/>
    <w:rsid w:val="00A0200B"/>
    <w:rsid w:val="00A05C7B"/>
    <w:rsid w:val="00A11355"/>
    <w:rsid w:val="00A118CE"/>
    <w:rsid w:val="00A11DCA"/>
    <w:rsid w:val="00A12161"/>
    <w:rsid w:val="00A1234F"/>
    <w:rsid w:val="00A1372A"/>
    <w:rsid w:val="00A1533B"/>
    <w:rsid w:val="00A16A3E"/>
    <w:rsid w:val="00A22171"/>
    <w:rsid w:val="00A22C63"/>
    <w:rsid w:val="00A23C1F"/>
    <w:rsid w:val="00A24C2A"/>
    <w:rsid w:val="00A24C55"/>
    <w:rsid w:val="00A25D4B"/>
    <w:rsid w:val="00A263D3"/>
    <w:rsid w:val="00A2656A"/>
    <w:rsid w:val="00A30490"/>
    <w:rsid w:val="00A324C0"/>
    <w:rsid w:val="00A356AD"/>
    <w:rsid w:val="00A365A2"/>
    <w:rsid w:val="00A37FDF"/>
    <w:rsid w:val="00A42C5E"/>
    <w:rsid w:val="00A43914"/>
    <w:rsid w:val="00A449BB"/>
    <w:rsid w:val="00A47C14"/>
    <w:rsid w:val="00A501C8"/>
    <w:rsid w:val="00A511A6"/>
    <w:rsid w:val="00A518E1"/>
    <w:rsid w:val="00A52D71"/>
    <w:rsid w:val="00A52E40"/>
    <w:rsid w:val="00A55BDB"/>
    <w:rsid w:val="00A7382D"/>
    <w:rsid w:val="00A75476"/>
    <w:rsid w:val="00A82992"/>
    <w:rsid w:val="00A84390"/>
    <w:rsid w:val="00A86090"/>
    <w:rsid w:val="00A865BA"/>
    <w:rsid w:val="00A877C5"/>
    <w:rsid w:val="00A87F41"/>
    <w:rsid w:val="00A93EC6"/>
    <w:rsid w:val="00A94D0D"/>
    <w:rsid w:val="00A95615"/>
    <w:rsid w:val="00AA01C6"/>
    <w:rsid w:val="00AA10A7"/>
    <w:rsid w:val="00AA112C"/>
    <w:rsid w:val="00AA19C4"/>
    <w:rsid w:val="00AA4E65"/>
    <w:rsid w:val="00AA4EDB"/>
    <w:rsid w:val="00AA7135"/>
    <w:rsid w:val="00AA73B2"/>
    <w:rsid w:val="00AB10F4"/>
    <w:rsid w:val="00AB228F"/>
    <w:rsid w:val="00AB329A"/>
    <w:rsid w:val="00AB565E"/>
    <w:rsid w:val="00AC3575"/>
    <w:rsid w:val="00AC3596"/>
    <w:rsid w:val="00AC57C3"/>
    <w:rsid w:val="00AC63CF"/>
    <w:rsid w:val="00AD0169"/>
    <w:rsid w:val="00AD0172"/>
    <w:rsid w:val="00AD2BF7"/>
    <w:rsid w:val="00AD44C7"/>
    <w:rsid w:val="00AD4D17"/>
    <w:rsid w:val="00AD5449"/>
    <w:rsid w:val="00AE261F"/>
    <w:rsid w:val="00AE2DC3"/>
    <w:rsid w:val="00AE3AD9"/>
    <w:rsid w:val="00AE6370"/>
    <w:rsid w:val="00AF11A3"/>
    <w:rsid w:val="00AF1EF8"/>
    <w:rsid w:val="00AF2036"/>
    <w:rsid w:val="00B0340D"/>
    <w:rsid w:val="00B03636"/>
    <w:rsid w:val="00B046DF"/>
    <w:rsid w:val="00B0506E"/>
    <w:rsid w:val="00B05BC1"/>
    <w:rsid w:val="00B07A8A"/>
    <w:rsid w:val="00B11249"/>
    <w:rsid w:val="00B11E26"/>
    <w:rsid w:val="00B144D3"/>
    <w:rsid w:val="00B20590"/>
    <w:rsid w:val="00B213D1"/>
    <w:rsid w:val="00B23C80"/>
    <w:rsid w:val="00B33E7B"/>
    <w:rsid w:val="00B37157"/>
    <w:rsid w:val="00B37261"/>
    <w:rsid w:val="00B429E8"/>
    <w:rsid w:val="00B43099"/>
    <w:rsid w:val="00B50F8B"/>
    <w:rsid w:val="00B53F5C"/>
    <w:rsid w:val="00B55234"/>
    <w:rsid w:val="00B5537F"/>
    <w:rsid w:val="00B55800"/>
    <w:rsid w:val="00B56568"/>
    <w:rsid w:val="00B65AE9"/>
    <w:rsid w:val="00B66676"/>
    <w:rsid w:val="00B6740B"/>
    <w:rsid w:val="00B7013E"/>
    <w:rsid w:val="00B708B2"/>
    <w:rsid w:val="00B73416"/>
    <w:rsid w:val="00B7347D"/>
    <w:rsid w:val="00B7681B"/>
    <w:rsid w:val="00B77477"/>
    <w:rsid w:val="00B823C2"/>
    <w:rsid w:val="00B82774"/>
    <w:rsid w:val="00B843EC"/>
    <w:rsid w:val="00B91607"/>
    <w:rsid w:val="00B943A5"/>
    <w:rsid w:val="00B94DD1"/>
    <w:rsid w:val="00B94E0B"/>
    <w:rsid w:val="00B94EFE"/>
    <w:rsid w:val="00B954B8"/>
    <w:rsid w:val="00B95AA9"/>
    <w:rsid w:val="00BA0C59"/>
    <w:rsid w:val="00BA12CE"/>
    <w:rsid w:val="00BA570D"/>
    <w:rsid w:val="00BA5A89"/>
    <w:rsid w:val="00BA67F2"/>
    <w:rsid w:val="00BB14F3"/>
    <w:rsid w:val="00BB15DB"/>
    <w:rsid w:val="00BB2599"/>
    <w:rsid w:val="00BB6932"/>
    <w:rsid w:val="00BB7B52"/>
    <w:rsid w:val="00BC2838"/>
    <w:rsid w:val="00BC4BDB"/>
    <w:rsid w:val="00BC75E3"/>
    <w:rsid w:val="00BD049A"/>
    <w:rsid w:val="00BD1C9B"/>
    <w:rsid w:val="00BD2990"/>
    <w:rsid w:val="00BD46AC"/>
    <w:rsid w:val="00BD50BC"/>
    <w:rsid w:val="00BD58F8"/>
    <w:rsid w:val="00BE2434"/>
    <w:rsid w:val="00BE4828"/>
    <w:rsid w:val="00BE4E7C"/>
    <w:rsid w:val="00BE6F1F"/>
    <w:rsid w:val="00BE7E1C"/>
    <w:rsid w:val="00BF1BCD"/>
    <w:rsid w:val="00BF1D3E"/>
    <w:rsid w:val="00BF2633"/>
    <w:rsid w:val="00BF3001"/>
    <w:rsid w:val="00BF5179"/>
    <w:rsid w:val="00C010F6"/>
    <w:rsid w:val="00C02050"/>
    <w:rsid w:val="00C07069"/>
    <w:rsid w:val="00C10DDC"/>
    <w:rsid w:val="00C11840"/>
    <w:rsid w:val="00C123EE"/>
    <w:rsid w:val="00C13CB6"/>
    <w:rsid w:val="00C16960"/>
    <w:rsid w:val="00C20386"/>
    <w:rsid w:val="00C24084"/>
    <w:rsid w:val="00C240EA"/>
    <w:rsid w:val="00C25C07"/>
    <w:rsid w:val="00C3071D"/>
    <w:rsid w:val="00C34EF5"/>
    <w:rsid w:val="00C41385"/>
    <w:rsid w:val="00C4271D"/>
    <w:rsid w:val="00C43129"/>
    <w:rsid w:val="00C43474"/>
    <w:rsid w:val="00C452A4"/>
    <w:rsid w:val="00C45AB0"/>
    <w:rsid w:val="00C4615A"/>
    <w:rsid w:val="00C47943"/>
    <w:rsid w:val="00C556A8"/>
    <w:rsid w:val="00C559F2"/>
    <w:rsid w:val="00C5603B"/>
    <w:rsid w:val="00C56CE2"/>
    <w:rsid w:val="00C63CAC"/>
    <w:rsid w:val="00C63F98"/>
    <w:rsid w:val="00C655FB"/>
    <w:rsid w:val="00C65F66"/>
    <w:rsid w:val="00C76CBA"/>
    <w:rsid w:val="00C83F05"/>
    <w:rsid w:val="00C84144"/>
    <w:rsid w:val="00C8714F"/>
    <w:rsid w:val="00C877FA"/>
    <w:rsid w:val="00C91BC6"/>
    <w:rsid w:val="00C928D8"/>
    <w:rsid w:val="00C94DE6"/>
    <w:rsid w:val="00C96904"/>
    <w:rsid w:val="00C9708E"/>
    <w:rsid w:val="00CA061C"/>
    <w:rsid w:val="00CA4819"/>
    <w:rsid w:val="00CA52C8"/>
    <w:rsid w:val="00CA558A"/>
    <w:rsid w:val="00CA5A7B"/>
    <w:rsid w:val="00CB1526"/>
    <w:rsid w:val="00CB15D9"/>
    <w:rsid w:val="00CB4195"/>
    <w:rsid w:val="00CC0882"/>
    <w:rsid w:val="00CC3F43"/>
    <w:rsid w:val="00CC6C27"/>
    <w:rsid w:val="00CC71EF"/>
    <w:rsid w:val="00CD1247"/>
    <w:rsid w:val="00CD39C3"/>
    <w:rsid w:val="00CD641B"/>
    <w:rsid w:val="00CE1542"/>
    <w:rsid w:val="00CE3911"/>
    <w:rsid w:val="00CE4310"/>
    <w:rsid w:val="00CE618C"/>
    <w:rsid w:val="00CE7CD2"/>
    <w:rsid w:val="00CF1134"/>
    <w:rsid w:val="00CF1AC8"/>
    <w:rsid w:val="00CF2652"/>
    <w:rsid w:val="00CF4569"/>
    <w:rsid w:val="00CF5A36"/>
    <w:rsid w:val="00D01B13"/>
    <w:rsid w:val="00D03056"/>
    <w:rsid w:val="00D0457A"/>
    <w:rsid w:val="00D04C1F"/>
    <w:rsid w:val="00D056CC"/>
    <w:rsid w:val="00D1006C"/>
    <w:rsid w:val="00D16D4A"/>
    <w:rsid w:val="00D21E5D"/>
    <w:rsid w:val="00D25186"/>
    <w:rsid w:val="00D32A78"/>
    <w:rsid w:val="00D32D33"/>
    <w:rsid w:val="00D34744"/>
    <w:rsid w:val="00D35977"/>
    <w:rsid w:val="00D41B12"/>
    <w:rsid w:val="00D43F5A"/>
    <w:rsid w:val="00D447C6"/>
    <w:rsid w:val="00D44A5D"/>
    <w:rsid w:val="00D46122"/>
    <w:rsid w:val="00D46946"/>
    <w:rsid w:val="00D47978"/>
    <w:rsid w:val="00D5208D"/>
    <w:rsid w:val="00D54625"/>
    <w:rsid w:val="00D62C10"/>
    <w:rsid w:val="00D64597"/>
    <w:rsid w:val="00D6558E"/>
    <w:rsid w:val="00D7113A"/>
    <w:rsid w:val="00D742F6"/>
    <w:rsid w:val="00D748CD"/>
    <w:rsid w:val="00D779E8"/>
    <w:rsid w:val="00D82669"/>
    <w:rsid w:val="00D830DE"/>
    <w:rsid w:val="00D8352D"/>
    <w:rsid w:val="00D84FBA"/>
    <w:rsid w:val="00D87A69"/>
    <w:rsid w:val="00D87F07"/>
    <w:rsid w:val="00D9142A"/>
    <w:rsid w:val="00D9558F"/>
    <w:rsid w:val="00D9735E"/>
    <w:rsid w:val="00DA30DC"/>
    <w:rsid w:val="00DA50C3"/>
    <w:rsid w:val="00DA68EA"/>
    <w:rsid w:val="00DA7438"/>
    <w:rsid w:val="00DA7E91"/>
    <w:rsid w:val="00DB250D"/>
    <w:rsid w:val="00DB335D"/>
    <w:rsid w:val="00DB7F6F"/>
    <w:rsid w:val="00DC0905"/>
    <w:rsid w:val="00DC6D02"/>
    <w:rsid w:val="00DC6E2D"/>
    <w:rsid w:val="00DD0DE2"/>
    <w:rsid w:val="00DD2123"/>
    <w:rsid w:val="00DD2CE2"/>
    <w:rsid w:val="00DD60DE"/>
    <w:rsid w:val="00DD642A"/>
    <w:rsid w:val="00DE0200"/>
    <w:rsid w:val="00DE1406"/>
    <w:rsid w:val="00DE14F6"/>
    <w:rsid w:val="00DE35BE"/>
    <w:rsid w:val="00DE368F"/>
    <w:rsid w:val="00DF4FB8"/>
    <w:rsid w:val="00DF7385"/>
    <w:rsid w:val="00DF7EB5"/>
    <w:rsid w:val="00E03011"/>
    <w:rsid w:val="00E0572F"/>
    <w:rsid w:val="00E07730"/>
    <w:rsid w:val="00E103E1"/>
    <w:rsid w:val="00E1061C"/>
    <w:rsid w:val="00E10692"/>
    <w:rsid w:val="00E14738"/>
    <w:rsid w:val="00E1479A"/>
    <w:rsid w:val="00E1610B"/>
    <w:rsid w:val="00E206A3"/>
    <w:rsid w:val="00E20C64"/>
    <w:rsid w:val="00E21DA0"/>
    <w:rsid w:val="00E24DB8"/>
    <w:rsid w:val="00E26EB0"/>
    <w:rsid w:val="00E27034"/>
    <w:rsid w:val="00E314FC"/>
    <w:rsid w:val="00E32D4B"/>
    <w:rsid w:val="00E3547A"/>
    <w:rsid w:val="00E36423"/>
    <w:rsid w:val="00E41116"/>
    <w:rsid w:val="00E414EF"/>
    <w:rsid w:val="00E424DA"/>
    <w:rsid w:val="00E45390"/>
    <w:rsid w:val="00E455A5"/>
    <w:rsid w:val="00E54CCA"/>
    <w:rsid w:val="00E54F56"/>
    <w:rsid w:val="00E5722D"/>
    <w:rsid w:val="00E6221F"/>
    <w:rsid w:val="00E62643"/>
    <w:rsid w:val="00E62938"/>
    <w:rsid w:val="00E64954"/>
    <w:rsid w:val="00E67F78"/>
    <w:rsid w:val="00E702F6"/>
    <w:rsid w:val="00E7387C"/>
    <w:rsid w:val="00E738A0"/>
    <w:rsid w:val="00E73C17"/>
    <w:rsid w:val="00E74D89"/>
    <w:rsid w:val="00E778AE"/>
    <w:rsid w:val="00E77A0F"/>
    <w:rsid w:val="00E820E0"/>
    <w:rsid w:val="00E835A1"/>
    <w:rsid w:val="00E83E2D"/>
    <w:rsid w:val="00E85164"/>
    <w:rsid w:val="00E8739B"/>
    <w:rsid w:val="00E91F7E"/>
    <w:rsid w:val="00E948B4"/>
    <w:rsid w:val="00E9508B"/>
    <w:rsid w:val="00E96570"/>
    <w:rsid w:val="00E969E0"/>
    <w:rsid w:val="00EA31DB"/>
    <w:rsid w:val="00EA68E9"/>
    <w:rsid w:val="00EA6932"/>
    <w:rsid w:val="00EB14CE"/>
    <w:rsid w:val="00EB3C38"/>
    <w:rsid w:val="00EB41BB"/>
    <w:rsid w:val="00EB515F"/>
    <w:rsid w:val="00EB5611"/>
    <w:rsid w:val="00EC00D0"/>
    <w:rsid w:val="00EC12A0"/>
    <w:rsid w:val="00EC78B7"/>
    <w:rsid w:val="00ED14BD"/>
    <w:rsid w:val="00ED24F1"/>
    <w:rsid w:val="00ED41E5"/>
    <w:rsid w:val="00EE2823"/>
    <w:rsid w:val="00EE332B"/>
    <w:rsid w:val="00EE5143"/>
    <w:rsid w:val="00EF1519"/>
    <w:rsid w:val="00EF2896"/>
    <w:rsid w:val="00EF2C61"/>
    <w:rsid w:val="00EF4610"/>
    <w:rsid w:val="00EF4964"/>
    <w:rsid w:val="00EF6CB2"/>
    <w:rsid w:val="00EF7939"/>
    <w:rsid w:val="00F01A5C"/>
    <w:rsid w:val="00F04DE2"/>
    <w:rsid w:val="00F076E3"/>
    <w:rsid w:val="00F11CFC"/>
    <w:rsid w:val="00F13EC0"/>
    <w:rsid w:val="00F1463A"/>
    <w:rsid w:val="00F213D5"/>
    <w:rsid w:val="00F23DBE"/>
    <w:rsid w:val="00F329A7"/>
    <w:rsid w:val="00F375D4"/>
    <w:rsid w:val="00F40513"/>
    <w:rsid w:val="00F41C5C"/>
    <w:rsid w:val="00F424A9"/>
    <w:rsid w:val="00F4459F"/>
    <w:rsid w:val="00F44C87"/>
    <w:rsid w:val="00F503BC"/>
    <w:rsid w:val="00F508C7"/>
    <w:rsid w:val="00F51EC8"/>
    <w:rsid w:val="00F52F72"/>
    <w:rsid w:val="00F54D5B"/>
    <w:rsid w:val="00F5729F"/>
    <w:rsid w:val="00F65587"/>
    <w:rsid w:val="00F656A1"/>
    <w:rsid w:val="00F65B62"/>
    <w:rsid w:val="00F65C38"/>
    <w:rsid w:val="00F667FA"/>
    <w:rsid w:val="00F72DC7"/>
    <w:rsid w:val="00F776C3"/>
    <w:rsid w:val="00F77E06"/>
    <w:rsid w:val="00F850F4"/>
    <w:rsid w:val="00F85864"/>
    <w:rsid w:val="00F85AD8"/>
    <w:rsid w:val="00F86F2E"/>
    <w:rsid w:val="00F9021F"/>
    <w:rsid w:val="00F916EE"/>
    <w:rsid w:val="00F93464"/>
    <w:rsid w:val="00F95594"/>
    <w:rsid w:val="00FA0CAE"/>
    <w:rsid w:val="00FA11E7"/>
    <w:rsid w:val="00FA5DE1"/>
    <w:rsid w:val="00FA7D60"/>
    <w:rsid w:val="00FA7ECB"/>
    <w:rsid w:val="00FB260A"/>
    <w:rsid w:val="00FB2B02"/>
    <w:rsid w:val="00FB4897"/>
    <w:rsid w:val="00FB6664"/>
    <w:rsid w:val="00FC3BF8"/>
    <w:rsid w:val="00FC60C3"/>
    <w:rsid w:val="00FC6311"/>
    <w:rsid w:val="00FC7CE6"/>
    <w:rsid w:val="00FD0795"/>
    <w:rsid w:val="00FD3A37"/>
    <w:rsid w:val="00FD577E"/>
    <w:rsid w:val="00FD6497"/>
    <w:rsid w:val="00FD73BD"/>
    <w:rsid w:val="00FE14B4"/>
    <w:rsid w:val="00FE1631"/>
    <w:rsid w:val="00FE1EBE"/>
    <w:rsid w:val="00FE7B64"/>
    <w:rsid w:val="00FE7F2B"/>
    <w:rsid w:val="00FF2EC3"/>
    <w:rsid w:val="00FF3E4A"/>
    <w:rsid w:val="00FF462C"/>
    <w:rsid w:val="00FF66DC"/>
    <w:rsid w:val="00FF7CD6"/>
    <w:rsid w:val="012A4E2C"/>
    <w:rsid w:val="02DC2156"/>
    <w:rsid w:val="03CC3F79"/>
    <w:rsid w:val="05CD222A"/>
    <w:rsid w:val="06084616"/>
    <w:rsid w:val="06A9292B"/>
    <w:rsid w:val="08EF7A39"/>
    <w:rsid w:val="0A5844F0"/>
    <w:rsid w:val="0EE41D10"/>
    <w:rsid w:val="11386E78"/>
    <w:rsid w:val="11B73ED3"/>
    <w:rsid w:val="12277661"/>
    <w:rsid w:val="133D4C82"/>
    <w:rsid w:val="13D12EE6"/>
    <w:rsid w:val="13EE1CEA"/>
    <w:rsid w:val="13F37300"/>
    <w:rsid w:val="174D6D27"/>
    <w:rsid w:val="18CE5C46"/>
    <w:rsid w:val="1A2A2D28"/>
    <w:rsid w:val="1B9C64CF"/>
    <w:rsid w:val="1E6C7E3E"/>
    <w:rsid w:val="20346CD6"/>
    <w:rsid w:val="206E043A"/>
    <w:rsid w:val="21B75E11"/>
    <w:rsid w:val="2443573A"/>
    <w:rsid w:val="25496D80"/>
    <w:rsid w:val="27095D8A"/>
    <w:rsid w:val="277B51EB"/>
    <w:rsid w:val="279E6744"/>
    <w:rsid w:val="29EF532D"/>
    <w:rsid w:val="2BAD2B02"/>
    <w:rsid w:val="2DFE73B2"/>
    <w:rsid w:val="2E0C3040"/>
    <w:rsid w:val="2E40384E"/>
    <w:rsid w:val="2F083808"/>
    <w:rsid w:val="2F0B058C"/>
    <w:rsid w:val="2F7C5FA4"/>
    <w:rsid w:val="344833B2"/>
    <w:rsid w:val="3B7F5E21"/>
    <w:rsid w:val="3CFA47F3"/>
    <w:rsid w:val="3D6C58AA"/>
    <w:rsid w:val="3E799816"/>
    <w:rsid w:val="403F2E01"/>
    <w:rsid w:val="431A1904"/>
    <w:rsid w:val="45413951"/>
    <w:rsid w:val="46E47FFF"/>
    <w:rsid w:val="4779601E"/>
    <w:rsid w:val="493E1AE1"/>
    <w:rsid w:val="4B2238EC"/>
    <w:rsid w:val="4C6C7CEB"/>
    <w:rsid w:val="4DDD59C1"/>
    <w:rsid w:val="4EAE0286"/>
    <w:rsid w:val="51FB0B52"/>
    <w:rsid w:val="531F075A"/>
    <w:rsid w:val="56DA342C"/>
    <w:rsid w:val="57A01936"/>
    <w:rsid w:val="57A57FD6"/>
    <w:rsid w:val="57F01F2D"/>
    <w:rsid w:val="58D367F3"/>
    <w:rsid w:val="592C1295"/>
    <w:rsid w:val="59DD74BB"/>
    <w:rsid w:val="5A8C449C"/>
    <w:rsid w:val="5B571FFB"/>
    <w:rsid w:val="5BFB00CD"/>
    <w:rsid w:val="5C452F47"/>
    <w:rsid w:val="5D086F45"/>
    <w:rsid w:val="5D4D6706"/>
    <w:rsid w:val="60252B89"/>
    <w:rsid w:val="616C2448"/>
    <w:rsid w:val="63DF2082"/>
    <w:rsid w:val="654A16B4"/>
    <w:rsid w:val="660F1D12"/>
    <w:rsid w:val="67277FC8"/>
    <w:rsid w:val="677C2407"/>
    <w:rsid w:val="68C47A98"/>
    <w:rsid w:val="68C53F3C"/>
    <w:rsid w:val="6CC80E6D"/>
    <w:rsid w:val="6D7D28A3"/>
    <w:rsid w:val="6FDD1529"/>
    <w:rsid w:val="710B6BAC"/>
    <w:rsid w:val="71CC633B"/>
    <w:rsid w:val="71F238C8"/>
    <w:rsid w:val="738A5B9F"/>
    <w:rsid w:val="741F6AAA"/>
    <w:rsid w:val="74A0585D"/>
    <w:rsid w:val="7755A80A"/>
    <w:rsid w:val="77A7157C"/>
    <w:rsid w:val="78B143BF"/>
    <w:rsid w:val="7A035425"/>
    <w:rsid w:val="7AB465B7"/>
    <w:rsid w:val="7AFEC822"/>
    <w:rsid w:val="7B215011"/>
    <w:rsid w:val="7CB63E70"/>
    <w:rsid w:val="7D221505"/>
    <w:rsid w:val="7E2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65C428D"/>
  <w15:docId w15:val="{F5773D5B-68ED-444D-8425-9A03F74D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uiPriority="0" w:qFormat="1"/>
    <w:lsdException w:name="footnote reference" w:uiPriority="0" w:qFormat="1"/>
    <w:lsdException w:name="annotation reference" w:qFormat="1"/>
    <w:lsdException w:name="line number" w:uiPriority="0" w:qFormat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c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4"/>
    </w:rPr>
  </w:style>
  <w:style w:type="paragraph" w:styleId="1">
    <w:name w:val="heading 1"/>
    <w:basedOn w:val="ac"/>
    <w:next w:val="ac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c"/>
    <w:next w:val="ac"/>
    <w:qFormat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sz w:val="32"/>
    </w:rPr>
  </w:style>
  <w:style w:type="paragraph" w:styleId="3">
    <w:name w:val="heading 3"/>
    <w:basedOn w:val="ac"/>
    <w:next w:val="ac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7">
    <w:name w:val="heading 7"/>
    <w:basedOn w:val="ac"/>
    <w:next w:val="ac"/>
    <w:link w:val="70"/>
    <w:uiPriority w:val="9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paragraph" w:styleId="af0">
    <w:name w:val="annotation text"/>
    <w:basedOn w:val="ac"/>
    <w:link w:val="af1"/>
    <w:uiPriority w:val="99"/>
    <w:unhideWhenUsed/>
    <w:qFormat/>
    <w:pPr>
      <w:adjustRightInd w:val="0"/>
      <w:spacing w:line="400" w:lineRule="exact"/>
      <w:jc w:val="left"/>
    </w:pPr>
    <w:rPr>
      <w:szCs w:val="21"/>
    </w:rPr>
  </w:style>
  <w:style w:type="paragraph" w:styleId="af2">
    <w:name w:val="Date"/>
    <w:basedOn w:val="ac"/>
    <w:next w:val="ac"/>
    <w:link w:val="af3"/>
    <w:uiPriority w:val="99"/>
    <w:semiHidden/>
    <w:unhideWhenUsed/>
    <w:qFormat/>
    <w:pPr>
      <w:ind w:leftChars="2500" w:left="100"/>
    </w:pPr>
  </w:style>
  <w:style w:type="paragraph" w:styleId="af4">
    <w:name w:val="endnote text"/>
    <w:basedOn w:val="ac"/>
    <w:link w:val="af5"/>
    <w:uiPriority w:val="99"/>
    <w:semiHidden/>
    <w:unhideWhenUsed/>
    <w:qFormat/>
    <w:pPr>
      <w:snapToGrid w:val="0"/>
      <w:jc w:val="left"/>
    </w:pPr>
  </w:style>
  <w:style w:type="paragraph" w:styleId="af6">
    <w:name w:val="Balloon Text"/>
    <w:basedOn w:val="ac"/>
    <w:link w:val="af7"/>
    <w:uiPriority w:val="99"/>
    <w:unhideWhenUsed/>
    <w:qFormat/>
    <w:rPr>
      <w:sz w:val="18"/>
      <w:szCs w:val="18"/>
    </w:rPr>
  </w:style>
  <w:style w:type="paragraph" w:styleId="af8">
    <w:name w:val="footer"/>
    <w:basedOn w:val="ac"/>
    <w:link w:val="af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a">
    <w:name w:val="envelope return"/>
    <w:basedOn w:val="ac"/>
    <w:qFormat/>
    <w:pPr>
      <w:snapToGrid w:val="0"/>
    </w:pPr>
    <w:rPr>
      <w:rFonts w:ascii="Times New Roman" w:hAnsi="Times New Roman"/>
    </w:rPr>
  </w:style>
  <w:style w:type="paragraph" w:styleId="afb">
    <w:name w:val="header"/>
    <w:basedOn w:val="ac"/>
    <w:link w:val="af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4"/>
    <w:basedOn w:val="ac"/>
    <w:next w:val="ac"/>
    <w:uiPriority w:val="39"/>
    <w:unhideWhenUsed/>
    <w:qFormat/>
    <w:pPr>
      <w:tabs>
        <w:tab w:val="right" w:leader="dot" w:pos="9344"/>
      </w:tabs>
      <w:adjustRightInd w:val="0"/>
      <w:spacing w:line="300" w:lineRule="exact"/>
      <w:ind w:left="629"/>
    </w:pPr>
    <w:rPr>
      <w:rFonts w:ascii="宋体"/>
      <w:szCs w:val="21"/>
    </w:rPr>
  </w:style>
  <w:style w:type="paragraph" w:styleId="afd">
    <w:name w:val="Normal (Web)"/>
    <w:basedOn w:val="ac"/>
    <w:uiPriority w:val="99"/>
    <w:semiHidden/>
    <w:unhideWhenUsed/>
    <w:qFormat/>
    <w:rPr>
      <w:sz w:val="24"/>
    </w:rPr>
  </w:style>
  <w:style w:type="paragraph" w:styleId="afe">
    <w:name w:val="Title"/>
    <w:basedOn w:val="ac"/>
    <w:next w:val="ac"/>
    <w:link w:val="aff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qFormat/>
    <w:pPr>
      <w:adjustRightInd/>
      <w:spacing w:line="240" w:lineRule="auto"/>
    </w:pPr>
    <w:rPr>
      <w:b/>
      <w:bCs/>
      <w:szCs w:val="24"/>
    </w:rPr>
  </w:style>
  <w:style w:type="table" w:styleId="aff2">
    <w:name w:val="Table Grid"/>
    <w:basedOn w:val="ae"/>
    <w:uiPriority w:val="39"/>
    <w:qFormat/>
    <w:pPr>
      <w:widowControl w:val="0"/>
      <w:jc w:val="both"/>
    </w:pPr>
    <w:tblPr>
      <w:tblBorders>
        <w:top w:val="single" w:sz="4" w:space="0" w:color="auto"/>
        <w:bottom w:val="single" w:sz="4" w:space="0" w:color="auto"/>
      </w:tblBorders>
    </w:tblPr>
  </w:style>
  <w:style w:type="character" w:styleId="aff3">
    <w:name w:val="Strong"/>
    <w:basedOn w:val="ad"/>
    <w:uiPriority w:val="22"/>
    <w:qFormat/>
    <w:rPr>
      <w:b/>
    </w:rPr>
  </w:style>
  <w:style w:type="character" w:styleId="aff4">
    <w:name w:val="endnote reference"/>
    <w:basedOn w:val="ad"/>
    <w:uiPriority w:val="99"/>
    <w:semiHidden/>
    <w:unhideWhenUsed/>
    <w:qFormat/>
    <w:rPr>
      <w:vertAlign w:val="superscript"/>
    </w:rPr>
  </w:style>
  <w:style w:type="character" w:styleId="aff5">
    <w:name w:val="line number"/>
    <w:qFormat/>
  </w:style>
  <w:style w:type="character" w:styleId="aff6">
    <w:name w:val="Hyperlink"/>
    <w:qFormat/>
    <w:rPr>
      <w:rFonts w:ascii="宋体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aff7">
    <w:name w:val="annotation reference"/>
    <w:uiPriority w:val="99"/>
    <w:qFormat/>
    <w:rPr>
      <w:sz w:val="21"/>
    </w:rPr>
  </w:style>
  <w:style w:type="character" w:styleId="aff8">
    <w:name w:val="footnote reference"/>
    <w:qFormat/>
    <w:rPr>
      <w:vertAlign w:val="superscript"/>
    </w:rPr>
  </w:style>
  <w:style w:type="paragraph" w:customStyle="1" w:styleId="BodyText2">
    <w:name w:val="BodyText2"/>
    <w:basedOn w:val="ac"/>
    <w:qFormat/>
    <w:pPr>
      <w:spacing w:after="120" w:line="480" w:lineRule="auto"/>
      <w:textAlignment w:val="baseline"/>
    </w:pPr>
    <w:rPr>
      <w:rFonts w:cs="Times New Roman"/>
      <w:sz w:val="32"/>
      <w:szCs w:val="32"/>
    </w:rPr>
  </w:style>
  <w:style w:type="paragraph" w:customStyle="1" w:styleId="-1">
    <w:name w:val="正文-公1"/>
    <w:uiPriority w:val="99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customStyle="1" w:styleId="70">
    <w:name w:val="标题 7 字符"/>
    <w:link w:val="7"/>
    <w:qFormat/>
    <w:rPr>
      <w:rFonts w:eastAsia="宋体"/>
      <w:b/>
      <w:bCs/>
      <w:kern w:val="2"/>
      <w:sz w:val="24"/>
      <w:szCs w:val="24"/>
    </w:rPr>
  </w:style>
  <w:style w:type="character" w:customStyle="1" w:styleId="af1">
    <w:name w:val="批注文字 字符"/>
    <w:link w:val="af0"/>
    <w:uiPriority w:val="99"/>
    <w:qFormat/>
    <w:rPr>
      <w:rFonts w:ascii="Calibri" w:eastAsia="宋体" w:hAnsi="Calibri"/>
      <w:kern w:val="2"/>
      <w:sz w:val="21"/>
      <w:szCs w:val="21"/>
    </w:rPr>
  </w:style>
  <w:style w:type="character" w:customStyle="1" w:styleId="af7">
    <w:name w:val="批注框文本 字符"/>
    <w:link w:val="af6"/>
    <w:uiPriority w:val="99"/>
    <w:semiHidden/>
    <w:qFormat/>
    <w:rPr>
      <w:rFonts w:eastAsia="宋体"/>
      <w:kern w:val="2"/>
      <w:sz w:val="18"/>
      <w:szCs w:val="18"/>
    </w:rPr>
  </w:style>
  <w:style w:type="character" w:customStyle="1" w:styleId="af9">
    <w:name w:val="页脚 字符"/>
    <w:link w:val="af8"/>
    <w:uiPriority w:val="99"/>
    <w:qFormat/>
    <w:locked/>
    <w:rPr>
      <w:rFonts w:eastAsia="宋体"/>
      <w:kern w:val="2"/>
      <w:sz w:val="18"/>
      <w:szCs w:val="18"/>
    </w:rPr>
  </w:style>
  <w:style w:type="paragraph" w:customStyle="1" w:styleId="aff9">
    <w:name w:val="其他标准称谓"/>
    <w:qFormat/>
    <w:pPr>
      <w:spacing w:line="0" w:lineRule="atLeast"/>
      <w:jc w:val="distribute"/>
    </w:pPr>
    <w:rPr>
      <w:rFonts w:ascii="黑体" w:eastAsia="黑体" w:hAnsi="Calibri" w:cs="Calibri"/>
      <w:sz w:val="52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Calibri" w:hAnsi="Calibri" w:cs="Calibri"/>
      <w:sz w:val="28"/>
    </w:rPr>
  </w:style>
  <w:style w:type="paragraph" w:customStyle="1" w:styleId="affa">
    <w:name w:val="标准文件_段"/>
    <w:link w:val="Char"/>
    <w:qFormat/>
    <w:pPr>
      <w:autoSpaceDE w:val="0"/>
      <w:autoSpaceDN w:val="0"/>
      <w:spacing w:line="520" w:lineRule="exact"/>
      <w:ind w:firstLineChars="200" w:firstLine="640"/>
      <w:jc w:val="both"/>
    </w:pPr>
    <w:rPr>
      <w:rFonts w:ascii="仿宋" w:eastAsia="仿宋" w:hAnsi="仿宋" w:cs="Calibri"/>
      <w:kern w:val="2"/>
      <w:sz w:val="32"/>
      <w:szCs w:val="32"/>
    </w:rPr>
  </w:style>
  <w:style w:type="character" w:customStyle="1" w:styleId="Char">
    <w:name w:val="标准文件_段 Char"/>
    <w:link w:val="affa"/>
    <w:qFormat/>
    <w:rPr>
      <w:rFonts w:ascii="仿宋" w:eastAsia="仿宋" w:hAnsi="仿宋" w:cs="Calibri"/>
      <w:kern w:val="2"/>
      <w:sz w:val="32"/>
      <w:szCs w:val="32"/>
    </w:rPr>
  </w:style>
  <w:style w:type="paragraph" w:customStyle="1" w:styleId="a6">
    <w:name w:val="标准文件_章标题"/>
    <w:next w:val="affa"/>
    <w:qFormat/>
    <w:pPr>
      <w:numPr>
        <w:ilvl w:val="1"/>
        <w:numId w:val="1"/>
      </w:numPr>
      <w:spacing w:beforeLines="100" w:before="100" w:afterLines="100" w:after="100"/>
      <w:jc w:val="both"/>
      <w:outlineLvl w:val="0"/>
    </w:pPr>
    <w:rPr>
      <w:rFonts w:ascii="黑体" w:eastAsia="黑体" w:hAnsi="Calibri" w:cs="Calibri"/>
      <w:sz w:val="21"/>
    </w:rPr>
  </w:style>
  <w:style w:type="paragraph" w:customStyle="1" w:styleId="affb">
    <w:name w:val="标准文件_二级条标题"/>
    <w:next w:val="affa"/>
    <w:qFormat/>
    <w:pPr>
      <w:widowControl w:val="0"/>
      <w:spacing w:beforeLines="50" w:before="50" w:afterLines="50" w:after="50"/>
      <w:jc w:val="both"/>
      <w:outlineLvl w:val="2"/>
    </w:pPr>
    <w:rPr>
      <w:rFonts w:ascii="黑体" w:eastAsia="黑体" w:hAnsi="Calibri" w:cs="Calibri"/>
      <w:sz w:val="21"/>
    </w:rPr>
  </w:style>
  <w:style w:type="paragraph" w:customStyle="1" w:styleId="a7">
    <w:name w:val="标准文件_一级条标题"/>
    <w:basedOn w:val="a6"/>
    <w:next w:val="affa"/>
    <w:qFormat/>
    <w:pPr>
      <w:numPr>
        <w:ilvl w:val="2"/>
      </w:numPr>
      <w:spacing w:beforeLines="0" w:before="50" w:afterLines="0" w:after="50"/>
      <w:outlineLvl w:val="1"/>
    </w:pPr>
  </w:style>
  <w:style w:type="paragraph" w:customStyle="1" w:styleId="affc">
    <w:name w:val="标准文件_三级条标题"/>
    <w:basedOn w:val="affb"/>
    <w:next w:val="affa"/>
    <w:qFormat/>
    <w:pPr>
      <w:outlineLvl w:val="3"/>
    </w:pPr>
  </w:style>
  <w:style w:type="paragraph" w:customStyle="1" w:styleId="affd">
    <w:name w:val="标准文件_四级条标题"/>
    <w:next w:val="affa"/>
    <w:qFormat/>
    <w:pPr>
      <w:widowControl w:val="0"/>
      <w:spacing w:beforeLines="50" w:before="50" w:afterLines="50" w:after="50"/>
      <w:jc w:val="both"/>
      <w:outlineLvl w:val="4"/>
    </w:pPr>
    <w:rPr>
      <w:rFonts w:ascii="黑体" w:eastAsia="黑体" w:hAnsi="Calibri" w:cs="Calibri"/>
      <w:sz w:val="21"/>
    </w:rPr>
  </w:style>
  <w:style w:type="paragraph" w:customStyle="1" w:styleId="aa">
    <w:name w:val="标准文件_五级条标题"/>
    <w:next w:val="affb"/>
    <w:qFormat/>
    <w:pPr>
      <w:widowControl w:val="0"/>
      <w:numPr>
        <w:ilvl w:val="6"/>
        <w:numId w:val="1"/>
      </w:numPr>
      <w:spacing w:beforeLines="50" w:before="50" w:afterLines="50" w:after="50"/>
      <w:jc w:val="both"/>
      <w:outlineLvl w:val="5"/>
    </w:pPr>
    <w:rPr>
      <w:rFonts w:ascii="黑体" w:eastAsia="黑体" w:hAnsi="Calibri" w:cs="Calibri"/>
      <w:sz w:val="21"/>
    </w:rPr>
  </w:style>
  <w:style w:type="paragraph" w:customStyle="1" w:styleId="a5">
    <w:name w:val="前言标题"/>
    <w:next w:val="ac"/>
    <w:qFormat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 w:hAnsi="Calibri" w:cs="Calibri"/>
      <w:sz w:val="32"/>
    </w:rPr>
  </w:style>
  <w:style w:type="paragraph" w:customStyle="1" w:styleId="a9">
    <w:name w:val="标准文件_四级无标题"/>
    <w:basedOn w:val="affd"/>
    <w:qFormat/>
    <w:pPr>
      <w:numPr>
        <w:ilvl w:val="5"/>
        <w:numId w:val="1"/>
      </w:numPr>
    </w:pPr>
    <w:rPr>
      <w:rFonts w:ascii="宋体" w:eastAsia="宋体"/>
      <w:szCs w:val="52"/>
    </w:rPr>
  </w:style>
  <w:style w:type="paragraph" w:customStyle="1" w:styleId="a8">
    <w:name w:val="标准文件_三级无标题"/>
    <w:basedOn w:val="affc"/>
    <w:qFormat/>
    <w:pPr>
      <w:numPr>
        <w:ilvl w:val="4"/>
        <w:numId w:val="1"/>
      </w:numPr>
    </w:pPr>
    <w:rPr>
      <w:rFonts w:ascii="宋体" w:eastAsia="宋体"/>
    </w:rPr>
  </w:style>
  <w:style w:type="paragraph" w:customStyle="1" w:styleId="a">
    <w:name w:val="标准文件_正文表标题"/>
    <w:qFormat/>
    <w:pPr>
      <w:numPr>
        <w:numId w:val="2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Calibri" w:cs="Calibri"/>
      <w:sz w:val="21"/>
    </w:rPr>
  </w:style>
  <w:style w:type="character" w:customStyle="1" w:styleId="font11">
    <w:name w:val="font11"/>
    <w:qFormat/>
    <w:rPr>
      <w:rFonts w:ascii="等线" w:eastAsia="等线"/>
      <w:b/>
      <w:bCs/>
      <w:color w:val="FF0000"/>
      <w:sz w:val="22"/>
      <w:szCs w:val="22"/>
      <w:u w:val="none"/>
    </w:rPr>
  </w:style>
  <w:style w:type="character" w:customStyle="1" w:styleId="font01">
    <w:name w:val="font01"/>
    <w:qFormat/>
    <w:rPr>
      <w:rFonts w:ascii="等线" w:eastAsia="等线"/>
      <w:color w:val="000000"/>
      <w:sz w:val="22"/>
      <w:szCs w:val="22"/>
      <w:u w:val="none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 w:hAnsi="Calibri" w:cs="Calibri"/>
      <w:sz w:val="21"/>
    </w:rPr>
  </w:style>
  <w:style w:type="paragraph" w:customStyle="1" w:styleId="afff">
    <w:name w:val="二级无"/>
    <w:basedOn w:val="ac"/>
    <w:qFormat/>
    <w:pPr>
      <w:widowControl/>
      <w:tabs>
        <w:tab w:val="left" w:pos="780"/>
      </w:tabs>
      <w:ind w:left="780" w:hanging="360"/>
      <w:jc w:val="left"/>
      <w:outlineLvl w:val="3"/>
    </w:pPr>
    <w:rPr>
      <w:rFonts w:ascii="宋体"/>
      <w:kern w:val="0"/>
      <w:szCs w:val="21"/>
    </w:rPr>
  </w:style>
  <w:style w:type="paragraph" w:customStyle="1" w:styleId="afff0">
    <w:name w:val="标准文件_二级无标题"/>
    <w:basedOn w:val="affb"/>
    <w:qFormat/>
    <w:pPr>
      <w:tabs>
        <w:tab w:val="left" w:pos="1200"/>
      </w:tabs>
      <w:spacing w:beforeLines="0" w:before="0" w:afterLines="0" w:after="0"/>
      <w:ind w:left="1200" w:hanging="360"/>
      <w:outlineLvl w:val="9"/>
    </w:pPr>
    <w:rPr>
      <w:rFonts w:ascii="宋体" w:eastAsia="宋体"/>
    </w:rPr>
  </w:style>
  <w:style w:type="paragraph" w:customStyle="1" w:styleId="CharCharCharChar">
    <w:name w:val="Char Char Char Char"/>
    <w:basedOn w:val="ac"/>
    <w:qFormat/>
  </w:style>
  <w:style w:type="paragraph" w:customStyle="1" w:styleId="a3">
    <w:name w:val="标准文件_数字编号列项（二级）"/>
    <w:qFormat/>
    <w:pPr>
      <w:numPr>
        <w:ilvl w:val="1"/>
        <w:numId w:val="3"/>
      </w:numPr>
      <w:jc w:val="both"/>
    </w:pPr>
    <w:rPr>
      <w:rFonts w:ascii="宋体" w:hAnsi="Calibri" w:cs="Calibri"/>
      <w:sz w:val="21"/>
    </w:rPr>
  </w:style>
  <w:style w:type="paragraph" w:customStyle="1" w:styleId="a4">
    <w:name w:val="标准文件_编号列项（三级）"/>
    <w:qFormat/>
    <w:pPr>
      <w:numPr>
        <w:ilvl w:val="2"/>
        <w:numId w:val="3"/>
      </w:numPr>
    </w:pPr>
    <w:rPr>
      <w:rFonts w:ascii="宋体" w:hAnsi="Calibri" w:cs="Calibri"/>
      <w:sz w:val="21"/>
    </w:rPr>
  </w:style>
  <w:style w:type="paragraph" w:customStyle="1" w:styleId="a2">
    <w:name w:val="标准文件_字母编号列项（一级）"/>
    <w:qFormat/>
    <w:pPr>
      <w:numPr>
        <w:numId w:val="3"/>
      </w:numPr>
      <w:jc w:val="both"/>
    </w:pPr>
    <w:rPr>
      <w:rFonts w:ascii="宋体" w:hAnsi="Calibri" w:cs="Calibri"/>
      <w:sz w:val="21"/>
    </w:rPr>
  </w:style>
  <w:style w:type="paragraph" w:customStyle="1" w:styleId="afff1">
    <w:name w:val="标准文件_术语条一"/>
    <w:basedOn w:val="ac"/>
    <w:next w:val="affa"/>
    <w:qFormat/>
    <w:pPr>
      <w:widowControl/>
    </w:pPr>
    <w:rPr>
      <w:rFonts w:ascii="宋体"/>
      <w:kern w:val="0"/>
      <w:szCs w:val="20"/>
    </w:rPr>
  </w:style>
  <w:style w:type="paragraph" w:customStyle="1" w:styleId="abstract">
    <w:name w:val="abstract"/>
    <w:basedOn w:val="ac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bstractmore">
    <w:name w:val="abstract_more"/>
    <w:basedOn w:val="ac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ff2">
    <w:name w:val="No Spacing"/>
    <w:uiPriority w:val="99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a1">
    <w:name w:val="标准文件_一级项"/>
    <w:qFormat/>
    <w:pPr>
      <w:numPr>
        <w:numId w:val="4"/>
      </w:numPr>
    </w:pPr>
    <w:rPr>
      <w:rFonts w:ascii="宋体"/>
      <w:sz w:val="21"/>
    </w:rPr>
  </w:style>
  <w:style w:type="paragraph" w:customStyle="1" w:styleId="ab">
    <w:name w:val="附录表标题"/>
    <w:basedOn w:val="ac"/>
    <w:next w:val="affe"/>
    <w:qFormat/>
    <w:pPr>
      <w:numPr>
        <w:ilvl w:val="1"/>
        <w:numId w:val="5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styleId="afff3">
    <w:name w:val="List Paragraph"/>
    <w:basedOn w:val="ac"/>
    <w:uiPriority w:val="99"/>
    <w:unhideWhenUsed/>
    <w:qFormat/>
    <w:pPr>
      <w:ind w:firstLineChars="200" w:firstLine="420"/>
    </w:pPr>
    <w:rPr>
      <w:rFonts w:ascii="Times New Roman" w:hAnsi="Times New Roman" w:cs="Times New Roman"/>
    </w:rPr>
  </w:style>
  <w:style w:type="character" w:customStyle="1" w:styleId="afc">
    <w:name w:val="页眉 字符"/>
    <w:basedOn w:val="ad"/>
    <w:link w:val="afb"/>
    <w:qFormat/>
    <w:rPr>
      <w:rFonts w:ascii="Calibri" w:hAnsi="Calibri" w:cs="Calibri"/>
      <w:kern w:val="2"/>
      <w:sz w:val="18"/>
      <w:szCs w:val="18"/>
    </w:rPr>
  </w:style>
  <w:style w:type="character" w:customStyle="1" w:styleId="aff1">
    <w:name w:val="批注主题 字符"/>
    <w:basedOn w:val="af1"/>
    <w:link w:val="aff0"/>
    <w:uiPriority w:val="99"/>
    <w:semiHidden/>
    <w:qFormat/>
    <w:rPr>
      <w:rFonts w:ascii="Calibri" w:eastAsia="宋体" w:hAnsi="Calibri" w:cs="Calibri"/>
      <w:b/>
      <w:bCs/>
      <w:kern w:val="2"/>
      <w:sz w:val="21"/>
      <w:szCs w:val="24"/>
    </w:rPr>
  </w:style>
  <w:style w:type="character" w:customStyle="1" w:styleId="af5">
    <w:name w:val="尾注文本 字符"/>
    <w:basedOn w:val="ad"/>
    <w:link w:val="af4"/>
    <w:uiPriority w:val="99"/>
    <w:semiHidden/>
    <w:qFormat/>
    <w:rPr>
      <w:rFonts w:ascii="Calibri" w:hAnsi="Calibri" w:cs="Calibri"/>
      <w:kern w:val="2"/>
      <w:sz w:val="21"/>
      <w:szCs w:val="24"/>
    </w:rPr>
  </w:style>
  <w:style w:type="paragraph" w:customStyle="1" w:styleId="a0">
    <w:name w:val="标准文件_方框数字列项"/>
    <w:basedOn w:val="affa"/>
    <w:qFormat/>
    <w:pPr>
      <w:numPr>
        <w:numId w:val="6"/>
      </w:numPr>
      <w:spacing w:line="240" w:lineRule="auto"/>
      <w:ind w:firstLineChars="0" w:firstLine="0"/>
    </w:pPr>
    <w:rPr>
      <w:rFonts w:ascii="宋体" w:eastAsia="宋体" w:hAnsi="Times New Roman" w:cs="Times New Roman"/>
      <w:kern w:val="0"/>
      <w:sz w:val="21"/>
      <w:szCs w:val="20"/>
    </w:rPr>
  </w:style>
  <w:style w:type="character" w:customStyle="1" w:styleId="af3">
    <w:name w:val="日期 字符"/>
    <w:basedOn w:val="ad"/>
    <w:link w:val="af2"/>
    <w:uiPriority w:val="99"/>
    <w:semiHidden/>
    <w:qFormat/>
    <w:rPr>
      <w:rFonts w:ascii="Calibri" w:hAnsi="Calibri" w:cs="Calibri"/>
      <w:kern w:val="2"/>
      <w:sz w:val="21"/>
      <w:szCs w:val="24"/>
    </w:rPr>
  </w:style>
  <w:style w:type="character" w:customStyle="1" w:styleId="aff">
    <w:name w:val="标题 字符"/>
    <w:basedOn w:val="ad"/>
    <w:link w:val="afe"/>
    <w:uiPriority w:val="10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fff4">
    <w:name w:val="标准文件_表格"/>
    <w:basedOn w:val="affa"/>
    <w:qFormat/>
    <w:pPr>
      <w:spacing w:line="240" w:lineRule="auto"/>
      <w:ind w:firstLineChars="0" w:firstLine="0"/>
      <w:jc w:val="center"/>
    </w:pPr>
    <w:rPr>
      <w:rFonts w:ascii="宋体" w:eastAsia="宋体" w:hAnsi="Times New Roman" w:cs="Times New Roman"/>
      <w:kern w:val="0"/>
      <w:sz w:val="18"/>
      <w:szCs w:val="20"/>
    </w:rPr>
  </w:style>
  <w:style w:type="table" w:customStyle="1" w:styleId="11">
    <w:name w:val="网格型1"/>
    <w:basedOn w:val="ae"/>
    <w:autoRedefine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491227-FA70-4B52-BF72-F2F91A6E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16</Pages>
  <Words>1504</Words>
  <Characters>8578</Characters>
  <Application>Microsoft Office Word</Application>
  <DocSecurity>0</DocSecurity>
  <Lines>71</Lines>
  <Paragraphs>20</Paragraphs>
  <ScaleCrop>false</ScaleCrop>
  <Company>微软中国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390</cp:revision>
  <cp:lastPrinted>2025-05-16T19:41:00Z</cp:lastPrinted>
  <dcterms:created xsi:type="dcterms:W3CDTF">2024-09-30T17:06:00Z</dcterms:created>
  <dcterms:modified xsi:type="dcterms:W3CDTF">2025-09-05T08:54:00Z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2052-12.0.0.21573</vt:lpwstr>
  </property>
  <property fmtid="{D5CDD505-2E9C-101B-9397-08002B2CF9AE}" pid="3" name="ICV">
    <vt:lpwstr>A922D90BF3B641DA8C66AE267C36FA1E_13</vt:lpwstr>
  </property>
</Properties>
</file>